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C37CB2">
        <w:rPr>
          <w:sz w:val="19"/>
          <w:szCs w:val="19"/>
        </w:rPr>
        <w:t>I</w:t>
      </w:r>
      <w:r w:rsidR="0035169E" w:rsidRPr="00C37CB2">
        <w:rPr>
          <w:sz w:val="19"/>
          <w:szCs w:val="19"/>
        </w:rPr>
        <w:t>SPROFOND</w:t>
      </w:r>
      <w:r w:rsidRPr="00C37CB2">
        <w:rPr>
          <w:sz w:val="19"/>
          <w:szCs w:val="19"/>
        </w:rPr>
        <w:t>/</w:t>
      </w:r>
      <w:proofErr w:type="spellStart"/>
      <w:r w:rsidRPr="00C37CB2">
        <w:rPr>
          <w:sz w:val="19"/>
          <w:szCs w:val="19"/>
        </w:rPr>
        <w:t>Sub.ISPROFIN</w:t>
      </w:r>
      <w:proofErr w:type="spellEnd"/>
      <w:r w:rsidR="00C6310B" w:rsidRPr="00C37CB2">
        <w:rPr>
          <w:sz w:val="19"/>
          <w:szCs w:val="19"/>
        </w:rPr>
        <w:t>:</w:t>
      </w:r>
      <w:r w:rsidR="00BC00F0" w:rsidRPr="00C37CB2">
        <w:rPr>
          <w:sz w:val="19"/>
          <w:szCs w:val="19"/>
        </w:rPr>
        <w:t xml:space="preserve"> </w:t>
      </w:r>
      <w:r w:rsidR="00C37CB2" w:rsidRPr="00C37CB2">
        <w:rPr>
          <w:sz w:val="19"/>
          <w:szCs w:val="19"/>
        </w:rPr>
        <w:t>3273214993 / 5213510041</w:t>
      </w:r>
      <w:r w:rsidR="000B227B" w:rsidRPr="00631592">
        <w:rPr>
          <w:sz w:val="19"/>
          <w:szCs w:val="19"/>
        </w:rPr>
        <w:t xml:space="preserve"> </w:t>
      </w:r>
    </w:p>
    <w:p w:rsidR="000B6F15" w:rsidRPr="00DA4104" w:rsidRDefault="000B6F15" w:rsidP="00862F1D">
      <w:pPr>
        <w:pStyle w:val="Nzev"/>
        <w:suppressAutoHyphens/>
        <w:rPr>
          <w:sz w:val="19"/>
          <w:szCs w:val="19"/>
        </w:rPr>
      </w:pPr>
    </w:p>
    <w:p w:rsidR="009A41EE" w:rsidRPr="009A41EE" w:rsidRDefault="00555AAD" w:rsidP="009A41EE">
      <w:pPr>
        <w:tabs>
          <w:tab w:val="center" w:pos="4961"/>
          <w:tab w:val="right" w:pos="9923"/>
        </w:tabs>
        <w:suppressAutoHyphens/>
        <w:spacing w:before="120"/>
        <w:jc w:val="center"/>
        <w:rPr>
          <w:rFonts w:ascii="Verdana" w:hAnsi="Verdana" w:cs="Arial"/>
          <w:b/>
          <w:bCs/>
          <w:sz w:val="18"/>
          <w:szCs w:val="18"/>
        </w:rPr>
      </w:pPr>
      <w:r>
        <w:rPr>
          <w:rFonts w:ascii="Verdana" w:hAnsi="Verdana" w:cs="Arial"/>
          <w:b/>
          <w:bCs/>
          <w:sz w:val="18"/>
          <w:szCs w:val="18"/>
        </w:rPr>
        <w:t xml:space="preserve">Na zpracování </w:t>
      </w:r>
      <w:r w:rsidR="009A41EE" w:rsidRPr="009A41EE">
        <w:rPr>
          <w:rFonts w:ascii="Verdana" w:hAnsi="Verdana" w:cs="Arial"/>
          <w:b/>
          <w:bCs/>
          <w:sz w:val="18"/>
          <w:szCs w:val="18"/>
        </w:rPr>
        <w:t xml:space="preserve">Dokumentace pro společné povolení, hodnocení ekonomické efektivnosti a výkon autorského dozoru </w:t>
      </w:r>
    </w:p>
    <w:p w:rsidR="004547EF" w:rsidRPr="00E33063" w:rsidRDefault="009A41EE" w:rsidP="009A41EE">
      <w:pPr>
        <w:pStyle w:val="Nadpis6"/>
        <w:pBdr>
          <w:bottom w:val="single" w:sz="6" w:space="0" w:color="auto"/>
        </w:pBdr>
        <w:suppressAutoHyphens/>
      </w:pPr>
      <w:r w:rsidRPr="0072612B">
        <w:t xml:space="preserve"> </w:t>
      </w:r>
      <w:r w:rsidR="008E199B" w:rsidRPr="0072612B">
        <w:t>„</w:t>
      </w:r>
      <w:r w:rsidR="00C37CB2" w:rsidRPr="00C37CB2">
        <w:t xml:space="preserve">Zajištění bezbariérového přístupu a rekonstrukce podchodu v Tuklaty </w:t>
      </w:r>
      <w:proofErr w:type="spellStart"/>
      <w:r w:rsidR="00C37CB2" w:rsidRPr="00C37CB2">
        <w:t>zast</w:t>
      </w:r>
      <w:proofErr w:type="spellEnd"/>
      <w:r w:rsidR="00C37CB2" w:rsidRPr="00C37CB2">
        <w:t>.</w:t>
      </w:r>
      <w:r w:rsidR="008E199B" w:rsidRPr="0072612B">
        <w:t>“</w:t>
      </w: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1C113E" w:rsidRDefault="001A0268" w:rsidP="00F1357D">
      <w:pPr>
        <w:numPr>
          <w:ilvl w:val="0"/>
          <w:numId w:val="5"/>
        </w:numPr>
        <w:tabs>
          <w:tab w:val="clear" w:pos="2160"/>
        </w:tabs>
        <w:suppressAutoHyphens/>
        <w:spacing w:before="120"/>
        <w:ind w:left="284" w:hanging="284"/>
        <w:rPr>
          <w:rFonts w:ascii="Arial" w:hAnsi="Arial" w:cs="Arial"/>
          <w:sz w:val="19"/>
          <w:szCs w:val="19"/>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1C113E">
        <w:rPr>
          <w:rFonts w:ascii="Arial" w:hAnsi="Arial" w:cs="Arial"/>
          <w:sz w:val="19"/>
          <w:szCs w:val="19"/>
        </w:rPr>
        <w:t xml:space="preserve">Marta </w:t>
      </w:r>
      <w:proofErr w:type="gramStart"/>
      <w:r w:rsidR="001C113E">
        <w:rPr>
          <w:rFonts w:ascii="Arial" w:hAnsi="Arial" w:cs="Arial"/>
          <w:sz w:val="19"/>
          <w:szCs w:val="19"/>
        </w:rPr>
        <w:t>Zimová</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proofErr w:type="gramEnd"/>
      <w:r w:rsidR="006A7423" w:rsidRPr="00DA4104">
        <w:rPr>
          <w:rFonts w:ascii="Arial" w:hAnsi="Arial" w:cs="Arial"/>
          <w:sz w:val="19"/>
          <w:szCs w:val="19"/>
        </w:rPr>
        <w:t>:</w:t>
      </w:r>
      <w:r w:rsidR="001C113E">
        <w:rPr>
          <w:rFonts w:ascii="Arial" w:hAnsi="Arial" w:cs="Arial"/>
          <w:sz w:val="19"/>
          <w:szCs w:val="19"/>
        </w:rPr>
        <w:t>702 223 238</w:t>
      </w:r>
      <w:r w:rsidR="006A7423" w:rsidRPr="00DA4104">
        <w:rPr>
          <w:rFonts w:ascii="Arial" w:hAnsi="Arial" w:cs="Arial"/>
          <w:sz w:val="19"/>
          <w:szCs w:val="19"/>
        </w:rPr>
        <w:t xml:space="preserve">, </w:t>
      </w:r>
      <w:proofErr w:type="spellStart"/>
      <w:r w:rsidR="006A7423" w:rsidRPr="00DA4104">
        <w:rPr>
          <w:rFonts w:ascii="Arial" w:hAnsi="Arial" w:cs="Arial"/>
          <w:sz w:val="19"/>
          <w:szCs w:val="19"/>
        </w:rPr>
        <w:t>e-</w:t>
      </w:r>
      <w:r w:rsidR="006A7423" w:rsidRPr="001C113E">
        <w:rPr>
          <w:rFonts w:ascii="Arial" w:hAnsi="Arial" w:cs="Arial"/>
          <w:sz w:val="19"/>
          <w:szCs w:val="19"/>
        </w:rPr>
        <w:t>mail:</w:t>
      </w:r>
      <w:r w:rsidR="001C113E" w:rsidRPr="001C113E">
        <w:rPr>
          <w:rFonts w:ascii="Arial" w:hAnsi="Arial" w:cs="Arial"/>
          <w:sz w:val="19"/>
          <w:szCs w:val="19"/>
        </w:rPr>
        <w:t>zimovam</w:t>
      </w:r>
      <w:proofErr w:type="spellEnd"/>
      <w:r w:rsidR="001C113E" w:rsidRPr="001C113E">
        <w:rPr>
          <w:rFonts w:ascii="Arial" w:hAnsi="Arial" w:cs="Arial"/>
          <w:sz w:val="19"/>
          <w:szCs w:val="19"/>
          <w:lang w:val="en-US"/>
        </w:rPr>
        <w:t>@spravazeleznic.cz</w:t>
      </w:r>
      <w:r w:rsidR="006A7423" w:rsidRPr="001C113E">
        <w:rPr>
          <w:rFonts w:ascii="Arial" w:hAnsi="Arial" w:cs="Arial"/>
          <w:sz w:val="19"/>
          <w:szCs w:val="19"/>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1C113E">
        <w:rPr>
          <w:rFonts w:ascii="Arial" w:hAnsi="Arial" w:cs="Arial"/>
          <w:sz w:val="19"/>
          <w:szCs w:val="19"/>
        </w:rPr>
        <w:t xml:space="preserve">ing. Stanislav </w:t>
      </w:r>
      <w:proofErr w:type="spellStart"/>
      <w:r w:rsidR="001C113E">
        <w:rPr>
          <w:rFonts w:ascii="Arial" w:hAnsi="Arial" w:cs="Arial"/>
          <w:sz w:val="19"/>
          <w:szCs w:val="19"/>
        </w:rPr>
        <w:t>Nol</w:t>
      </w:r>
      <w:proofErr w:type="spellEnd"/>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631592">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w:t>
      </w:r>
      <w:r w:rsidR="001C113E">
        <w:rPr>
          <w:rFonts w:ascii="Arial" w:hAnsi="Arial" w:cs="Arial"/>
          <w:sz w:val="19"/>
          <w:szCs w:val="19"/>
        </w:rPr>
        <w:t>724 961 019</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proofErr w:type="spellStart"/>
      <w:r w:rsidR="001C113E">
        <w:rPr>
          <w:rFonts w:ascii="Arial" w:hAnsi="Arial" w:cs="Arial"/>
          <w:sz w:val="19"/>
          <w:szCs w:val="19"/>
        </w:rPr>
        <w:t>Nol</w:t>
      </w:r>
      <w:proofErr w:type="spellEnd"/>
      <w:r w:rsidR="001C113E">
        <w:rPr>
          <w:rFonts w:ascii="Arial" w:hAnsi="Arial" w:cs="Arial"/>
          <w:sz w:val="19"/>
          <w:szCs w:val="19"/>
          <w:lang w:val="en-US"/>
        </w:rPr>
        <w:t>@</w:t>
      </w:r>
      <w:r w:rsidR="001C113E">
        <w:rPr>
          <w:rFonts w:ascii="Arial" w:hAnsi="Arial" w:cs="Arial"/>
          <w:sz w:val="19"/>
          <w:szCs w:val="19"/>
        </w:rPr>
        <w:t>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7E6415" w:rsidRDefault="007E6415" w:rsidP="00EB5A7C">
      <w:pPr>
        <w:suppressAutoHyphens/>
        <w:ind w:left="1276" w:hanging="1276"/>
        <w:rPr>
          <w:rFonts w:ascii="Arial" w:hAnsi="Arial" w:cs="Arial"/>
          <w:sz w:val="19"/>
          <w:szCs w:val="19"/>
        </w:rPr>
      </w:pPr>
    </w:p>
    <w:p w:rsidR="007E6415" w:rsidRDefault="007E6415" w:rsidP="007E6415">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rsidR="007E6415" w:rsidRDefault="007E6415" w:rsidP="007E6415">
      <w:pPr>
        <w:suppressAutoHyphens/>
        <w:ind w:left="1276" w:hanging="1276"/>
        <w:rPr>
          <w:rFonts w:ascii="Arial" w:hAnsi="Arial" w:cs="Arial"/>
          <w:sz w:val="19"/>
          <w:szCs w:val="19"/>
        </w:rPr>
      </w:pPr>
      <w:r>
        <w:rPr>
          <w:rFonts w:ascii="Arial" w:hAnsi="Arial" w:cs="Arial"/>
          <w:sz w:val="19"/>
          <w:szCs w:val="19"/>
        </w:rPr>
        <w:t>Správa železnic, státní organizace</w:t>
      </w:r>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rsidR="007E6415" w:rsidRDefault="000A746E" w:rsidP="007E6415">
      <w:pPr>
        <w:suppressAutoHyphens/>
        <w:ind w:left="1276" w:hanging="1276"/>
        <w:rPr>
          <w:rFonts w:ascii="Arial" w:hAnsi="Arial" w:cs="Arial"/>
          <w:sz w:val="19"/>
          <w:szCs w:val="19"/>
        </w:rPr>
      </w:pPr>
      <w:hyperlink r:id="rId8" w:history="1">
        <w:r w:rsidR="007E6415">
          <w:rPr>
            <w:rStyle w:val="Hypertextovodkaz"/>
            <w:rFonts w:ascii="Arial" w:hAnsi="Arial" w:cs="Arial"/>
            <w:sz w:val="19"/>
            <w:szCs w:val="19"/>
          </w:rPr>
          <w:t>ePodatelnaCFU@spravazeleznic.cz</w:t>
        </w:r>
      </w:hyperlink>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lastRenderedPageBreak/>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w:t>
      </w:r>
      <w:r w:rsidR="00E33063">
        <w:rPr>
          <w:rFonts w:ascii="Arial" w:hAnsi="Arial" w:cs="Arial"/>
          <w:b/>
          <w:sz w:val="19"/>
          <w:szCs w:val="19"/>
        </w:rPr>
        <w:t xml:space="preserve">Návrhu stavby (studie), </w:t>
      </w:r>
      <w:r w:rsidR="00497C87">
        <w:rPr>
          <w:rFonts w:ascii="Arial" w:hAnsi="Arial" w:cs="Arial"/>
          <w:b/>
          <w:sz w:val="19"/>
          <w:szCs w:val="19"/>
        </w:rPr>
        <w:t>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E33063">
        <w:rPr>
          <w:rFonts w:ascii="Arial" w:hAnsi="Arial" w:cs="Arial"/>
          <w:b/>
          <w:sz w:val="19"/>
          <w:szCs w:val="19"/>
        </w:rPr>
        <w:t>hodnocení ekonomické efektivnosti</w:t>
      </w:r>
      <w:r w:rsidR="00274FFF" w:rsidRPr="00E33063">
        <w:rPr>
          <w:rFonts w:ascii="Arial" w:hAnsi="Arial" w:cs="Arial"/>
          <w:sz w:val="19"/>
          <w:szCs w:val="19"/>
        </w:rPr>
        <w:t xml:space="preserve"> </w:t>
      </w:r>
      <w:r w:rsidR="008E199B" w:rsidRPr="00E33063">
        <w:rPr>
          <w:rFonts w:ascii="Arial" w:hAnsi="Arial" w:cs="Arial"/>
          <w:sz w:val="19"/>
          <w:szCs w:val="19"/>
        </w:rPr>
        <w:t>(</w:t>
      </w:r>
      <w:r w:rsidR="00BF6E2E" w:rsidRPr="00E33063">
        <w:rPr>
          <w:rFonts w:ascii="Arial" w:hAnsi="Arial" w:cs="Arial"/>
          <w:sz w:val="19"/>
          <w:szCs w:val="19"/>
        </w:rPr>
        <w:t xml:space="preserve">dále </w:t>
      </w:r>
      <w:r w:rsidR="00B92C42" w:rsidRPr="00E33063">
        <w:rPr>
          <w:rFonts w:ascii="Arial" w:hAnsi="Arial" w:cs="Arial"/>
          <w:sz w:val="19"/>
          <w:szCs w:val="19"/>
        </w:rPr>
        <w:t>jen „</w:t>
      </w:r>
      <w:r w:rsidR="008E199B" w:rsidRPr="00E33063">
        <w:rPr>
          <w:rFonts w:ascii="Arial" w:hAnsi="Arial" w:cs="Arial"/>
          <w:sz w:val="19"/>
          <w:szCs w:val="19"/>
        </w:rPr>
        <w:t>EH</w:t>
      </w:r>
      <w:r w:rsidR="00B92C42" w:rsidRPr="00E33063">
        <w:rPr>
          <w:rFonts w:ascii="Arial" w:hAnsi="Arial" w:cs="Arial"/>
          <w:sz w:val="19"/>
          <w:szCs w:val="19"/>
        </w:rPr>
        <w:t>“</w:t>
      </w:r>
      <w:r w:rsidR="008E199B" w:rsidRPr="00E33063">
        <w:rPr>
          <w:rFonts w:ascii="Arial" w:hAnsi="Arial" w:cs="Arial"/>
          <w:sz w:val="19"/>
          <w:szCs w:val="19"/>
        </w:rPr>
        <w:t>)</w:t>
      </w:r>
      <w:r w:rsidR="00C1529C" w:rsidRPr="00E33063">
        <w:rPr>
          <w:rFonts w:ascii="Arial" w:hAnsi="Arial" w:cs="Arial"/>
          <w:sz w:val="19"/>
          <w:szCs w:val="19"/>
        </w:rPr>
        <w:t xml:space="preserve"> </w:t>
      </w:r>
      <w:r w:rsidR="00274FFF" w:rsidRPr="00E33063">
        <w:rPr>
          <w:rFonts w:ascii="Arial" w:hAnsi="Arial" w:cs="Arial"/>
          <w:sz w:val="19"/>
          <w:szCs w:val="19"/>
        </w:rPr>
        <w:t xml:space="preserve">a </w:t>
      </w:r>
      <w:r w:rsidR="00010322" w:rsidRPr="00E33063">
        <w:rPr>
          <w:rFonts w:ascii="Arial" w:hAnsi="Arial" w:cs="Arial"/>
          <w:b/>
          <w:sz w:val="19"/>
          <w:szCs w:val="19"/>
        </w:rPr>
        <w:t>s</w:t>
      </w:r>
      <w:r w:rsidR="00230849" w:rsidRPr="00E33063">
        <w:rPr>
          <w:rFonts w:ascii="Arial" w:hAnsi="Arial" w:cs="Arial"/>
          <w:b/>
          <w:sz w:val="19"/>
          <w:szCs w:val="19"/>
        </w:rPr>
        <w:t>ouhrnného</w:t>
      </w:r>
      <w:r w:rsidR="00274FFF" w:rsidRPr="00E33063">
        <w:rPr>
          <w:rFonts w:ascii="Arial" w:hAnsi="Arial" w:cs="Arial"/>
          <w:b/>
          <w:sz w:val="19"/>
          <w:szCs w:val="19"/>
        </w:rPr>
        <w:t xml:space="preserve"> rozpočt</w:t>
      </w:r>
      <w:r w:rsidR="00230849" w:rsidRPr="00E33063">
        <w:rPr>
          <w:rFonts w:ascii="Arial" w:hAnsi="Arial" w:cs="Arial"/>
          <w:b/>
          <w:sz w:val="19"/>
          <w:szCs w:val="19"/>
        </w:rPr>
        <w:t>u</w:t>
      </w:r>
      <w:r w:rsidR="00BF6E2E" w:rsidRPr="00E33063">
        <w:rPr>
          <w:rFonts w:ascii="Arial" w:hAnsi="Arial" w:cs="Arial"/>
          <w:sz w:val="19"/>
          <w:szCs w:val="19"/>
        </w:rPr>
        <w:t xml:space="preserve"> (dále </w:t>
      </w:r>
      <w:r w:rsidR="00274FFF" w:rsidRPr="00E33063">
        <w:rPr>
          <w:rFonts w:ascii="Arial" w:hAnsi="Arial" w:cs="Arial"/>
          <w:sz w:val="19"/>
          <w:szCs w:val="19"/>
        </w:rPr>
        <w:t>jen „</w:t>
      </w:r>
      <w:r w:rsidR="00230849" w:rsidRPr="00E33063">
        <w:rPr>
          <w:rFonts w:ascii="Arial" w:hAnsi="Arial" w:cs="Arial"/>
          <w:sz w:val="19"/>
          <w:szCs w:val="19"/>
        </w:rPr>
        <w:t>S</w:t>
      </w:r>
      <w:r w:rsidR="00274FFF" w:rsidRPr="00E33063">
        <w:rPr>
          <w:rFonts w:ascii="Arial" w:hAnsi="Arial" w:cs="Arial"/>
          <w:sz w:val="19"/>
          <w:szCs w:val="19"/>
        </w:rPr>
        <w:t>R“)</w:t>
      </w:r>
      <w:r w:rsidR="00AC3560" w:rsidRPr="00E33063">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E33063">
        <w:rPr>
          <w:rFonts w:ascii="Arial" w:hAnsi="Arial" w:cs="Arial"/>
          <w:b/>
          <w:sz w:val="19"/>
          <w:szCs w:val="19"/>
        </w:rPr>
        <w:t>„</w:t>
      </w:r>
      <w:r w:rsidR="00E33063" w:rsidRPr="00E33063">
        <w:rPr>
          <w:rFonts w:ascii="Arial" w:hAnsi="Arial" w:cs="Arial"/>
          <w:b/>
          <w:sz w:val="19"/>
          <w:szCs w:val="19"/>
        </w:rPr>
        <w:t xml:space="preserve">Zajištění bezbariérového přístupu a rekonstrukce podchodu v Tuklaty </w:t>
      </w:r>
      <w:proofErr w:type="spellStart"/>
      <w:r w:rsidR="00E33063" w:rsidRPr="00E33063">
        <w:rPr>
          <w:rFonts w:ascii="Arial" w:hAnsi="Arial" w:cs="Arial"/>
          <w:b/>
          <w:sz w:val="19"/>
          <w:szCs w:val="19"/>
        </w:rPr>
        <w:t>zast</w:t>
      </w:r>
      <w:proofErr w:type="spellEnd"/>
      <w:r w:rsidR="00E33063" w:rsidRPr="00E33063">
        <w:rPr>
          <w:rFonts w:ascii="Arial" w:hAnsi="Arial" w:cs="Arial"/>
          <w:b/>
          <w:sz w:val="19"/>
          <w:szCs w:val="19"/>
        </w:rPr>
        <w:t>.</w:t>
      </w:r>
      <w:r w:rsidR="00CE4754" w:rsidRPr="00E33063">
        <w:rPr>
          <w:rFonts w:ascii="Arial" w:hAnsi="Arial" w:cs="Arial"/>
          <w:b/>
          <w:sz w:val="19"/>
          <w:szCs w:val="19"/>
        </w:rPr>
        <w:t>“</w:t>
      </w:r>
      <w:r w:rsidR="009B1BBB" w:rsidRPr="00E33063">
        <w:rPr>
          <w:rFonts w:ascii="Arial" w:hAnsi="Arial" w:cs="Arial"/>
          <w:sz w:val="19"/>
          <w:szCs w:val="19"/>
        </w:rPr>
        <w:t xml:space="preserve"> </w:t>
      </w:r>
      <w:r w:rsidR="00CE4754" w:rsidRPr="00E33063">
        <w:rPr>
          <w:rFonts w:ascii="Arial" w:hAnsi="Arial" w:cs="Arial"/>
          <w:sz w:val="19"/>
          <w:szCs w:val="19"/>
        </w:rPr>
        <w:t>v</w:t>
      </w:r>
      <w:r w:rsidR="00CE4754" w:rsidRPr="00DA4104">
        <w:rPr>
          <w:rFonts w:ascii="Arial" w:hAnsi="Arial" w:cs="Arial"/>
          <w:sz w:val="19"/>
          <w:szCs w:val="19"/>
        </w:rPr>
        <w:t>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E33063">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E33063" w:rsidRPr="00E33063">
        <w:rPr>
          <w:rFonts w:ascii="Arial" w:hAnsi="Arial" w:cs="Arial"/>
          <w:sz w:val="19"/>
          <w:szCs w:val="19"/>
        </w:rPr>
        <w:t>29064/2021-SŽ-SSZ-OVZ</w:t>
      </w:r>
      <w:r w:rsidRPr="00DA4104">
        <w:rPr>
          <w:rFonts w:ascii="Arial" w:hAnsi="Arial" w:cs="Arial"/>
          <w:sz w:val="19"/>
          <w:szCs w:val="19"/>
        </w:rPr>
        <w:t xml:space="preserve"> ze dne </w:t>
      </w:r>
      <w:r w:rsidRPr="004547EF">
        <w:rPr>
          <w:rFonts w:ascii="Arial" w:hAnsi="Arial" w:cs="Arial"/>
          <w:sz w:val="19"/>
          <w:szCs w:val="19"/>
          <w:highlight w:val="yellow"/>
        </w:rPr>
        <w:t>…………………</w:t>
      </w:r>
      <w:proofErr w:type="gramStart"/>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proofErr w:type="gramEnd"/>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342175" w:rsidRDefault="00CB78AC" w:rsidP="00555AA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42175">
        <w:rPr>
          <w:rFonts w:ascii="Arial" w:hAnsi="Arial" w:cs="Arial"/>
          <w:sz w:val="19"/>
          <w:szCs w:val="19"/>
        </w:rPr>
        <w:t>Směrnice GŘ č. 16/2005 Zásady modernizace a optimalizace vybrané železniční sítě Č</w:t>
      </w:r>
      <w:r w:rsidR="00342175">
        <w:rPr>
          <w:rFonts w:ascii="Arial" w:hAnsi="Arial" w:cs="Arial"/>
          <w:sz w:val="19"/>
          <w:szCs w:val="19"/>
        </w:rPr>
        <w:t>eské republiky, v platném znění</w:t>
      </w:r>
      <w:r w:rsidRPr="00342175">
        <w:rPr>
          <w:rFonts w:ascii="Arial" w:hAnsi="Arial" w:cs="Arial"/>
          <w:sz w:val="19"/>
          <w:szCs w:val="19"/>
        </w:rPr>
        <w:t xml:space="preserve"> </w:t>
      </w:r>
    </w:p>
    <w:p w:rsidR="00CB78AC" w:rsidRPr="00342175" w:rsidRDefault="00CB78AC" w:rsidP="00555AA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42175">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rsidR="00382ED7" w:rsidRPr="00653C79"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53C79">
        <w:rPr>
          <w:rFonts w:ascii="Arial" w:hAnsi="Arial" w:cs="Arial"/>
          <w:sz w:val="19"/>
          <w:szCs w:val="19"/>
        </w:rPr>
        <w:lastRenderedPageBreak/>
        <w:t>vyhlášk</w:t>
      </w:r>
      <w:r w:rsidR="00A4083D" w:rsidRPr="00653C79">
        <w:rPr>
          <w:rFonts w:ascii="Arial" w:hAnsi="Arial" w:cs="Arial"/>
          <w:sz w:val="19"/>
          <w:szCs w:val="19"/>
        </w:rPr>
        <w:t>a</w:t>
      </w:r>
      <w:r w:rsidRPr="00653C79">
        <w:rPr>
          <w:rFonts w:ascii="Arial" w:hAnsi="Arial" w:cs="Arial"/>
          <w:sz w:val="19"/>
          <w:szCs w:val="19"/>
        </w:rPr>
        <w:t xml:space="preserve"> č. 268/2009 Sb., o technických požadavcích na stavby, v platném znění</w:t>
      </w:r>
    </w:p>
    <w:p w:rsidR="00373C99" w:rsidRPr="00653C79"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sz w:val="19"/>
          <w:szCs w:val="19"/>
        </w:rPr>
      </w:pPr>
      <w:r w:rsidRPr="00653C79">
        <w:rPr>
          <w:rFonts w:ascii="Arial" w:hAnsi="Arial" w:cs="Arial"/>
          <w:sz w:val="19"/>
          <w:szCs w:val="19"/>
        </w:rPr>
        <w:t>Všeobecné technické podmínky VTP/DOKUMENTACE/0</w:t>
      </w:r>
      <w:r w:rsidR="00653C79" w:rsidRPr="00653C79">
        <w:rPr>
          <w:rFonts w:ascii="Arial" w:hAnsi="Arial" w:cs="Arial"/>
          <w:sz w:val="19"/>
          <w:szCs w:val="19"/>
        </w:rPr>
        <w:t>4</w:t>
      </w:r>
      <w:r w:rsidRPr="00653C79">
        <w:rPr>
          <w:rFonts w:ascii="Arial" w:hAnsi="Arial" w:cs="Arial"/>
          <w:sz w:val="19"/>
          <w:szCs w:val="19"/>
        </w:rPr>
        <w:t xml:space="preserve">/21 </w:t>
      </w:r>
    </w:p>
    <w:p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Zvláštní technické podmínky</w:t>
      </w:r>
      <w:r w:rsidR="00A4083D" w:rsidRPr="00687588">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5531" w:type="pct"/>
        <w:tblInd w:w="-497" w:type="dxa"/>
        <w:tblLayout w:type="fixed"/>
        <w:tblCellMar>
          <w:left w:w="70" w:type="dxa"/>
          <w:right w:w="70" w:type="dxa"/>
        </w:tblCellMar>
        <w:tblLook w:val="04A0" w:firstRow="1" w:lastRow="0" w:firstColumn="1" w:lastColumn="0" w:noHBand="0" w:noVBand="1"/>
      </w:tblPr>
      <w:tblGrid>
        <w:gridCol w:w="1600"/>
        <w:gridCol w:w="2180"/>
        <w:gridCol w:w="3490"/>
        <w:gridCol w:w="2763"/>
      </w:tblGrid>
      <w:tr w:rsidR="009131A3" w:rsidTr="001C113E">
        <w:trPr>
          <w:trHeight w:val="135"/>
        </w:trPr>
        <w:tc>
          <w:tcPr>
            <w:tcW w:w="797" w:type="pct"/>
            <w:noWrap/>
            <w:vAlign w:val="bottom"/>
            <w:hideMark/>
          </w:tcPr>
          <w:p w:rsidR="009131A3" w:rsidRPr="001F597E" w:rsidRDefault="009131A3" w:rsidP="001C113E">
            <w:pPr>
              <w:suppressAutoHyphens/>
              <w:overflowPunct w:val="0"/>
              <w:autoSpaceDE w:val="0"/>
              <w:ind w:left="510"/>
              <w:jc w:val="center"/>
              <w:rPr>
                <w:rFonts w:ascii="Arial" w:hAnsi="Arial" w:cs="Arial"/>
                <w:b/>
                <w:sz w:val="19"/>
                <w:szCs w:val="19"/>
              </w:rPr>
            </w:pPr>
          </w:p>
        </w:tc>
        <w:tc>
          <w:tcPr>
            <w:tcW w:w="1086" w:type="pct"/>
            <w:noWrap/>
            <w:vAlign w:val="bottom"/>
            <w:hideMark/>
          </w:tcPr>
          <w:p w:rsidR="009131A3" w:rsidRDefault="009131A3" w:rsidP="001C113E">
            <w:pPr>
              <w:rPr>
                <w:rFonts w:ascii="Arial" w:hAnsi="Arial" w:cs="Arial"/>
                <w:sz w:val="19"/>
                <w:szCs w:val="19"/>
              </w:rPr>
            </w:pPr>
          </w:p>
        </w:tc>
        <w:tc>
          <w:tcPr>
            <w:tcW w:w="1739" w:type="pct"/>
            <w:noWrap/>
            <w:vAlign w:val="bottom"/>
            <w:hideMark/>
          </w:tcPr>
          <w:p w:rsidR="009131A3" w:rsidRDefault="009131A3" w:rsidP="001C113E">
            <w:pPr>
              <w:rPr>
                <w:sz w:val="20"/>
                <w:szCs w:val="20"/>
              </w:rPr>
            </w:pPr>
          </w:p>
        </w:tc>
        <w:tc>
          <w:tcPr>
            <w:tcW w:w="1377" w:type="pct"/>
            <w:noWrap/>
            <w:vAlign w:val="bottom"/>
            <w:hideMark/>
          </w:tcPr>
          <w:p w:rsidR="009131A3" w:rsidRDefault="009131A3" w:rsidP="001C113E">
            <w:pPr>
              <w:rPr>
                <w:sz w:val="20"/>
                <w:szCs w:val="20"/>
              </w:rPr>
            </w:pPr>
          </w:p>
        </w:tc>
      </w:tr>
      <w:tr w:rsidR="009131A3" w:rsidTr="001C113E">
        <w:trPr>
          <w:trHeight w:val="300"/>
        </w:trPr>
        <w:tc>
          <w:tcPr>
            <w:tcW w:w="797" w:type="pct"/>
            <w:vMerge w:val="restart"/>
            <w:tcBorders>
              <w:top w:val="single" w:sz="8" w:space="0" w:color="auto"/>
              <w:left w:val="single" w:sz="8" w:space="0" w:color="auto"/>
              <w:bottom w:val="single" w:sz="8" w:space="0" w:color="000000"/>
              <w:right w:val="single" w:sz="8" w:space="0" w:color="auto"/>
            </w:tcBorders>
            <w:shd w:val="clear" w:color="auto" w:fill="C0C0C0"/>
            <w:hideMark/>
          </w:tcPr>
          <w:p w:rsidR="009131A3" w:rsidRDefault="009131A3" w:rsidP="001C113E">
            <w:pPr>
              <w:jc w:val="center"/>
              <w:rPr>
                <w:rFonts w:ascii="Arial" w:hAnsi="Arial" w:cs="Arial"/>
                <w:b/>
                <w:bCs/>
                <w:i/>
                <w:iCs/>
                <w:sz w:val="19"/>
                <w:szCs w:val="19"/>
              </w:rPr>
            </w:pPr>
            <w:r>
              <w:rPr>
                <w:rFonts w:ascii="Arial" w:hAnsi="Arial" w:cs="Arial"/>
                <w:b/>
                <w:bCs/>
                <w:i/>
                <w:iCs/>
                <w:sz w:val="19"/>
                <w:szCs w:val="19"/>
              </w:rPr>
              <w:t>Etapa</w:t>
            </w:r>
          </w:p>
        </w:tc>
        <w:tc>
          <w:tcPr>
            <w:tcW w:w="1086" w:type="pct"/>
            <w:tcBorders>
              <w:top w:val="single" w:sz="8" w:space="0" w:color="auto"/>
              <w:left w:val="nil"/>
              <w:bottom w:val="nil"/>
              <w:right w:val="single" w:sz="8" w:space="0" w:color="auto"/>
            </w:tcBorders>
            <w:shd w:val="clear" w:color="auto" w:fill="C0C0C0"/>
            <w:hideMark/>
          </w:tcPr>
          <w:p w:rsidR="009131A3" w:rsidRDefault="009131A3" w:rsidP="001C113E">
            <w:pPr>
              <w:jc w:val="center"/>
              <w:rPr>
                <w:rFonts w:ascii="Arial" w:hAnsi="Arial" w:cs="Arial"/>
                <w:b/>
                <w:bCs/>
                <w:i/>
                <w:iCs/>
                <w:sz w:val="19"/>
                <w:szCs w:val="19"/>
              </w:rPr>
            </w:pPr>
            <w:r>
              <w:rPr>
                <w:rFonts w:ascii="Arial" w:hAnsi="Arial" w:cs="Arial"/>
                <w:b/>
                <w:bCs/>
                <w:i/>
                <w:iCs/>
                <w:sz w:val="19"/>
                <w:szCs w:val="19"/>
              </w:rPr>
              <w:t>Termín plnění</w:t>
            </w:r>
          </w:p>
        </w:tc>
        <w:tc>
          <w:tcPr>
            <w:tcW w:w="1739" w:type="pct"/>
            <w:vMerge w:val="restart"/>
            <w:tcBorders>
              <w:top w:val="single" w:sz="8" w:space="0" w:color="auto"/>
              <w:left w:val="single" w:sz="8" w:space="0" w:color="auto"/>
              <w:bottom w:val="single" w:sz="8" w:space="0" w:color="000000"/>
              <w:right w:val="single" w:sz="8" w:space="0" w:color="auto"/>
            </w:tcBorders>
            <w:shd w:val="clear" w:color="auto" w:fill="C0C0C0"/>
            <w:hideMark/>
          </w:tcPr>
          <w:p w:rsidR="009131A3" w:rsidRDefault="009131A3" w:rsidP="001C113E">
            <w:pPr>
              <w:jc w:val="center"/>
              <w:rPr>
                <w:rFonts w:ascii="Arial" w:hAnsi="Arial" w:cs="Arial"/>
                <w:b/>
                <w:bCs/>
                <w:i/>
                <w:iCs/>
                <w:sz w:val="19"/>
                <w:szCs w:val="19"/>
              </w:rPr>
            </w:pPr>
            <w:r>
              <w:rPr>
                <w:rFonts w:ascii="Arial" w:hAnsi="Arial" w:cs="Arial"/>
                <w:b/>
                <w:bCs/>
                <w:i/>
                <w:iCs/>
                <w:sz w:val="19"/>
                <w:szCs w:val="19"/>
              </w:rPr>
              <w:t>Popis činností prováděných v dílčí etapě</w:t>
            </w:r>
          </w:p>
        </w:tc>
        <w:tc>
          <w:tcPr>
            <w:tcW w:w="1377" w:type="pct"/>
            <w:vMerge w:val="restart"/>
            <w:tcBorders>
              <w:top w:val="single" w:sz="8" w:space="0" w:color="auto"/>
              <w:left w:val="single" w:sz="8" w:space="0" w:color="auto"/>
              <w:bottom w:val="single" w:sz="8" w:space="0" w:color="000000"/>
              <w:right w:val="single" w:sz="8" w:space="0" w:color="auto"/>
            </w:tcBorders>
            <w:shd w:val="clear" w:color="auto" w:fill="C0C0C0"/>
            <w:hideMark/>
          </w:tcPr>
          <w:p w:rsidR="009131A3" w:rsidRDefault="009131A3" w:rsidP="001C113E">
            <w:pPr>
              <w:jc w:val="center"/>
              <w:rPr>
                <w:rFonts w:ascii="Arial" w:hAnsi="Arial" w:cs="Arial"/>
                <w:b/>
                <w:bCs/>
                <w:i/>
                <w:iCs/>
                <w:sz w:val="19"/>
                <w:szCs w:val="19"/>
              </w:rPr>
            </w:pPr>
            <w:r>
              <w:rPr>
                <w:rFonts w:ascii="Arial" w:hAnsi="Arial" w:cs="Arial"/>
                <w:b/>
                <w:bCs/>
                <w:i/>
                <w:iCs/>
                <w:sz w:val="19"/>
                <w:szCs w:val="19"/>
              </w:rPr>
              <w:t xml:space="preserve">Podmínky dokončení </w:t>
            </w:r>
          </w:p>
          <w:p w:rsidR="009131A3" w:rsidRDefault="009131A3" w:rsidP="001C113E">
            <w:pPr>
              <w:jc w:val="center"/>
              <w:rPr>
                <w:rFonts w:ascii="Arial" w:hAnsi="Arial" w:cs="Arial"/>
                <w:b/>
                <w:bCs/>
                <w:i/>
                <w:iCs/>
                <w:sz w:val="19"/>
                <w:szCs w:val="19"/>
                <w:u w:val="single"/>
              </w:rPr>
            </w:pPr>
            <w:r>
              <w:rPr>
                <w:rFonts w:ascii="Arial" w:hAnsi="Arial" w:cs="Arial"/>
                <w:b/>
                <w:bCs/>
                <w:i/>
                <w:iCs/>
                <w:sz w:val="19"/>
                <w:szCs w:val="19"/>
              </w:rPr>
              <w:t>dílčí etapy</w:t>
            </w:r>
          </w:p>
        </w:tc>
      </w:tr>
      <w:tr w:rsidR="009131A3" w:rsidTr="001C113E">
        <w:trPr>
          <w:trHeight w:val="615"/>
        </w:trPr>
        <w:tc>
          <w:tcPr>
            <w:tcW w:w="797" w:type="pct"/>
            <w:vMerge/>
            <w:tcBorders>
              <w:top w:val="single" w:sz="8" w:space="0" w:color="auto"/>
              <w:left w:val="single" w:sz="8" w:space="0" w:color="auto"/>
              <w:bottom w:val="single" w:sz="8" w:space="0" w:color="000000"/>
              <w:right w:val="single" w:sz="8" w:space="0" w:color="auto"/>
            </w:tcBorders>
            <w:vAlign w:val="center"/>
            <w:hideMark/>
          </w:tcPr>
          <w:p w:rsidR="009131A3" w:rsidRDefault="009131A3" w:rsidP="001C113E">
            <w:pPr>
              <w:rPr>
                <w:rFonts w:ascii="Arial" w:hAnsi="Arial" w:cs="Arial"/>
                <w:b/>
                <w:bCs/>
                <w:i/>
                <w:iCs/>
                <w:sz w:val="19"/>
                <w:szCs w:val="19"/>
              </w:rPr>
            </w:pPr>
          </w:p>
        </w:tc>
        <w:tc>
          <w:tcPr>
            <w:tcW w:w="1086" w:type="pct"/>
            <w:tcBorders>
              <w:top w:val="nil"/>
              <w:left w:val="nil"/>
              <w:bottom w:val="single" w:sz="8" w:space="0" w:color="auto"/>
              <w:right w:val="single" w:sz="8" w:space="0" w:color="auto"/>
            </w:tcBorders>
            <w:shd w:val="clear" w:color="auto" w:fill="C0C0C0"/>
            <w:hideMark/>
          </w:tcPr>
          <w:p w:rsidR="009131A3" w:rsidRDefault="009131A3" w:rsidP="001C113E">
            <w:pPr>
              <w:jc w:val="center"/>
              <w:rPr>
                <w:rFonts w:ascii="Arial" w:hAnsi="Arial" w:cs="Arial"/>
                <w:i/>
                <w:iCs/>
                <w:sz w:val="19"/>
                <w:szCs w:val="19"/>
              </w:rPr>
            </w:pPr>
            <w:r>
              <w:rPr>
                <w:rFonts w:ascii="Arial" w:hAnsi="Arial" w:cs="Arial"/>
                <w:i/>
                <w:iCs/>
                <w:sz w:val="19"/>
                <w:szCs w:val="19"/>
              </w:rPr>
              <w:t>(nejzazší termín</w:t>
            </w:r>
          </w:p>
          <w:p w:rsidR="009131A3" w:rsidRDefault="009131A3" w:rsidP="001C113E">
            <w:pPr>
              <w:jc w:val="center"/>
              <w:rPr>
                <w:rFonts w:ascii="Arial" w:hAnsi="Arial" w:cs="Arial"/>
                <w:i/>
                <w:iCs/>
                <w:sz w:val="19"/>
                <w:szCs w:val="19"/>
              </w:rPr>
            </w:pPr>
            <w:r>
              <w:rPr>
                <w:rFonts w:ascii="Arial" w:hAnsi="Arial" w:cs="Arial"/>
                <w:i/>
                <w:iCs/>
                <w:sz w:val="19"/>
                <w:szCs w:val="19"/>
              </w:rPr>
              <w:t>pro předání</w:t>
            </w:r>
          </w:p>
          <w:p w:rsidR="009131A3" w:rsidRDefault="009131A3" w:rsidP="001C113E">
            <w:pPr>
              <w:jc w:val="center"/>
              <w:rPr>
                <w:rFonts w:ascii="Arial" w:hAnsi="Arial" w:cs="Arial"/>
                <w:i/>
                <w:iCs/>
                <w:sz w:val="19"/>
                <w:szCs w:val="19"/>
              </w:rPr>
            </w:pPr>
            <w:r>
              <w:rPr>
                <w:rFonts w:ascii="Arial" w:hAnsi="Arial" w:cs="Arial"/>
                <w:i/>
                <w:iCs/>
                <w:sz w:val="19"/>
                <w:szCs w:val="19"/>
              </w:rPr>
              <w:t>příslušné části díla)</w:t>
            </w:r>
          </w:p>
        </w:tc>
        <w:tc>
          <w:tcPr>
            <w:tcW w:w="1739" w:type="pct"/>
            <w:vMerge/>
            <w:tcBorders>
              <w:top w:val="single" w:sz="8" w:space="0" w:color="auto"/>
              <w:left w:val="single" w:sz="8" w:space="0" w:color="auto"/>
              <w:bottom w:val="single" w:sz="8" w:space="0" w:color="000000"/>
              <w:right w:val="single" w:sz="8" w:space="0" w:color="auto"/>
            </w:tcBorders>
            <w:vAlign w:val="center"/>
            <w:hideMark/>
          </w:tcPr>
          <w:p w:rsidR="009131A3" w:rsidRDefault="009131A3" w:rsidP="001C113E">
            <w:pPr>
              <w:rPr>
                <w:rFonts w:ascii="Arial" w:hAnsi="Arial" w:cs="Arial"/>
                <w:b/>
                <w:bCs/>
                <w:i/>
                <w:iCs/>
                <w:sz w:val="19"/>
                <w:szCs w:val="19"/>
              </w:rPr>
            </w:pPr>
          </w:p>
        </w:tc>
        <w:tc>
          <w:tcPr>
            <w:tcW w:w="1377" w:type="pct"/>
            <w:vMerge/>
            <w:tcBorders>
              <w:top w:val="single" w:sz="8" w:space="0" w:color="auto"/>
              <w:left w:val="single" w:sz="8" w:space="0" w:color="auto"/>
              <w:bottom w:val="single" w:sz="8" w:space="0" w:color="000000"/>
              <w:right w:val="single" w:sz="8" w:space="0" w:color="auto"/>
            </w:tcBorders>
            <w:vAlign w:val="center"/>
            <w:hideMark/>
          </w:tcPr>
          <w:p w:rsidR="009131A3" w:rsidRDefault="009131A3" w:rsidP="001C113E">
            <w:pPr>
              <w:rPr>
                <w:rFonts w:ascii="Arial" w:hAnsi="Arial" w:cs="Arial"/>
                <w:b/>
                <w:bCs/>
                <w:i/>
                <w:iCs/>
                <w:sz w:val="19"/>
                <w:szCs w:val="19"/>
                <w:u w:val="single"/>
              </w:rPr>
            </w:pPr>
          </w:p>
        </w:tc>
      </w:tr>
      <w:tr w:rsidR="009131A3" w:rsidTr="001C113E">
        <w:trPr>
          <w:trHeight w:val="315"/>
        </w:trPr>
        <w:tc>
          <w:tcPr>
            <w:tcW w:w="797" w:type="pct"/>
            <w:tcBorders>
              <w:top w:val="nil"/>
              <w:left w:val="single" w:sz="8" w:space="0" w:color="auto"/>
              <w:bottom w:val="single" w:sz="8" w:space="0" w:color="auto"/>
              <w:right w:val="single" w:sz="8" w:space="0" w:color="auto"/>
            </w:tcBorders>
            <w:shd w:val="clear" w:color="auto" w:fill="FFFFFF"/>
            <w:vAlign w:val="center"/>
          </w:tcPr>
          <w:p w:rsidR="009131A3" w:rsidRDefault="009131A3" w:rsidP="001C113E">
            <w:pPr>
              <w:jc w:val="center"/>
              <w:rPr>
                <w:rFonts w:ascii="Arial" w:hAnsi="Arial" w:cs="Arial"/>
                <w:b/>
                <w:bCs/>
                <w:sz w:val="19"/>
                <w:szCs w:val="19"/>
              </w:rPr>
            </w:pPr>
          </w:p>
          <w:p w:rsidR="009131A3" w:rsidRDefault="009131A3" w:rsidP="001C113E">
            <w:pPr>
              <w:jc w:val="center"/>
              <w:rPr>
                <w:rFonts w:ascii="Arial" w:hAnsi="Arial" w:cs="Arial"/>
                <w:b/>
                <w:bCs/>
                <w:sz w:val="19"/>
                <w:szCs w:val="19"/>
              </w:rPr>
            </w:pPr>
            <w:r>
              <w:rPr>
                <w:rFonts w:ascii="Arial" w:hAnsi="Arial" w:cs="Arial"/>
                <w:b/>
                <w:bCs/>
                <w:sz w:val="19"/>
                <w:szCs w:val="19"/>
              </w:rPr>
              <w:t>Zahájení prací</w:t>
            </w:r>
          </w:p>
        </w:tc>
        <w:tc>
          <w:tcPr>
            <w:tcW w:w="1086" w:type="pct"/>
            <w:tcBorders>
              <w:top w:val="nil"/>
              <w:left w:val="nil"/>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t>po nabytí účinnosti SOD</w:t>
            </w:r>
          </w:p>
        </w:tc>
        <w:tc>
          <w:tcPr>
            <w:tcW w:w="1739" w:type="pct"/>
            <w:tcBorders>
              <w:top w:val="nil"/>
              <w:left w:val="nil"/>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t>-</w:t>
            </w:r>
          </w:p>
        </w:tc>
        <w:tc>
          <w:tcPr>
            <w:tcW w:w="1377" w:type="pct"/>
            <w:tcBorders>
              <w:top w:val="nil"/>
              <w:left w:val="nil"/>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t>-</w:t>
            </w:r>
          </w:p>
        </w:tc>
      </w:tr>
      <w:tr w:rsidR="009131A3" w:rsidTr="001C113E">
        <w:trPr>
          <w:trHeight w:val="852"/>
        </w:trPr>
        <w:tc>
          <w:tcPr>
            <w:tcW w:w="797" w:type="pct"/>
            <w:tcBorders>
              <w:top w:val="nil"/>
              <w:left w:val="single" w:sz="8" w:space="0" w:color="auto"/>
              <w:bottom w:val="single" w:sz="8" w:space="0" w:color="auto"/>
              <w:right w:val="single" w:sz="8" w:space="0" w:color="auto"/>
            </w:tcBorders>
            <w:shd w:val="clear" w:color="auto" w:fill="FFFFFF"/>
            <w:vAlign w:val="center"/>
          </w:tcPr>
          <w:p w:rsidR="009131A3" w:rsidRDefault="009131A3" w:rsidP="001C113E">
            <w:pPr>
              <w:jc w:val="center"/>
              <w:rPr>
                <w:rFonts w:ascii="Arial" w:hAnsi="Arial" w:cs="Arial"/>
                <w:b/>
                <w:bCs/>
                <w:sz w:val="19"/>
                <w:szCs w:val="19"/>
              </w:rPr>
            </w:pPr>
            <w:r w:rsidRPr="000B41BA">
              <w:rPr>
                <w:rFonts w:ascii="Arial" w:hAnsi="Arial" w:cs="Arial"/>
                <w:b/>
                <w:bCs/>
                <w:sz w:val="19"/>
                <w:szCs w:val="19"/>
              </w:rPr>
              <w:t>1. dílčí etapa</w:t>
            </w:r>
          </w:p>
        </w:tc>
        <w:tc>
          <w:tcPr>
            <w:tcW w:w="1086" w:type="pct"/>
            <w:tcBorders>
              <w:top w:val="nil"/>
              <w:left w:val="nil"/>
              <w:bottom w:val="single" w:sz="8" w:space="0" w:color="auto"/>
              <w:right w:val="single" w:sz="8" w:space="0" w:color="auto"/>
            </w:tcBorders>
            <w:shd w:val="clear" w:color="auto" w:fill="FFFFFF"/>
            <w:vAlign w:val="center"/>
          </w:tcPr>
          <w:p w:rsidR="009131A3" w:rsidRPr="000B41BA" w:rsidRDefault="009131A3" w:rsidP="001C113E">
            <w:pPr>
              <w:jc w:val="center"/>
              <w:rPr>
                <w:rFonts w:ascii="Arial" w:hAnsi="Arial" w:cs="Arial"/>
                <w:b/>
                <w:bCs/>
                <w:sz w:val="19"/>
                <w:szCs w:val="19"/>
              </w:rPr>
            </w:pPr>
            <w:r w:rsidRPr="000B41BA">
              <w:rPr>
                <w:rFonts w:ascii="Arial" w:hAnsi="Arial" w:cs="Arial"/>
                <w:b/>
                <w:bCs/>
                <w:sz w:val="19"/>
                <w:szCs w:val="19"/>
              </w:rPr>
              <w:t xml:space="preserve">do </w:t>
            </w:r>
            <w:r>
              <w:rPr>
                <w:rFonts w:ascii="Arial" w:hAnsi="Arial" w:cs="Arial"/>
                <w:b/>
                <w:bCs/>
                <w:sz w:val="19"/>
                <w:szCs w:val="19"/>
              </w:rPr>
              <w:t>2</w:t>
            </w:r>
            <w:r w:rsidRPr="000B41BA">
              <w:rPr>
                <w:rFonts w:ascii="Arial" w:hAnsi="Arial" w:cs="Arial"/>
                <w:b/>
                <w:bCs/>
                <w:sz w:val="19"/>
                <w:szCs w:val="19"/>
              </w:rPr>
              <w:t xml:space="preserve"> měsíců </w:t>
            </w:r>
          </w:p>
          <w:p w:rsidR="009131A3" w:rsidRDefault="009131A3" w:rsidP="001C113E">
            <w:pPr>
              <w:jc w:val="center"/>
              <w:rPr>
                <w:rFonts w:ascii="Arial" w:hAnsi="Arial" w:cs="Arial"/>
                <w:b/>
                <w:bCs/>
                <w:sz w:val="19"/>
                <w:szCs w:val="19"/>
              </w:rPr>
            </w:pPr>
            <w:r w:rsidRPr="000B41BA">
              <w:rPr>
                <w:rFonts w:ascii="Arial" w:hAnsi="Arial" w:cs="Arial"/>
                <w:b/>
                <w:bCs/>
                <w:sz w:val="19"/>
                <w:szCs w:val="19"/>
              </w:rPr>
              <w:t>od nabytí účinnosti SOD</w:t>
            </w:r>
          </w:p>
        </w:tc>
        <w:tc>
          <w:tcPr>
            <w:tcW w:w="1739" w:type="pct"/>
            <w:tcBorders>
              <w:top w:val="nil"/>
              <w:left w:val="nil"/>
              <w:bottom w:val="single" w:sz="8" w:space="0" w:color="auto"/>
              <w:right w:val="single" w:sz="8" w:space="0" w:color="auto"/>
            </w:tcBorders>
            <w:shd w:val="clear" w:color="auto" w:fill="FFFFFF"/>
            <w:vAlign w:val="center"/>
          </w:tcPr>
          <w:p w:rsidR="009131A3" w:rsidRPr="000B41BA" w:rsidRDefault="009131A3" w:rsidP="001C113E">
            <w:pPr>
              <w:pStyle w:val="TPText-3neslovan"/>
              <w:tabs>
                <w:tab w:val="num" w:pos="851"/>
              </w:tabs>
              <w:ind w:left="0"/>
              <w:jc w:val="center"/>
              <w:rPr>
                <w:rFonts w:ascii="Arial" w:hAnsi="Arial"/>
                <w:sz w:val="19"/>
                <w:szCs w:val="19"/>
              </w:rPr>
            </w:pPr>
            <w:r>
              <w:rPr>
                <w:rFonts w:ascii="Arial" w:hAnsi="Arial"/>
                <w:bCs/>
                <w:sz w:val="19"/>
                <w:szCs w:val="19"/>
              </w:rPr>
              <w:t xml:space="preserve">Návrh stavby (architektonické </w:t>
            </w:r>
            <w:r w:rsidRPr="000B41BA">
              <w:rPr>
                <w:rFonts w:ascii="Arial" w:hAnsi="Arial"/>
                <w:bCs/>
                <w:sz w:val="19"/>
                <w:szCs w:val="19"/>
              </w:rPr>
              <w:t>studie)</w:t>
            </w:r>
            <w:r>
              <w:rPr>
                <w:rFonts w:ascii="Arial" w:hAnsi="Arial"/>
                <w:bCs/>
                <w:sz w:val="19"/>
                <w:szCs w:val="19"/>
              </w:rPr>
              <w:t xml:space="preserve"> k připomínkám</w:t>
            </w:r>
          </w:p>
        </w:tc>
        <w:tc>
          <w:tcPr>
            <w:tcW w:w="1377" w:type="pct"/>
            <w:tcBorders>
              <w:top w:val="nil"/>
              <w:left w:val="nil"/>
              <w:bottom w:val="single" w:sz="8" w:space="0" w:color="auto"/>
              <w:right w:val="single" w:sz="8" w:space="0" w:color="auto"/>
            </w:tcBorders>
            <w:shd w:val="clear" w:color="auto" w:fill="FFFFFF"/>
            <w:vAlign w:val="center"/>
          </w:tcPr>
          <w:p w:rsidR="009131A3" w:rsidRDefault="009131A3" w:rsidP="001C113E">
            <w:pPr>
              <w:ind w:left="248" w:right="-54" w:hanging="197"/>
              <w:jc w:val="center"/>
              <w:rPr>
                <w:rFonts w:ascii="Arial" w:hAnsi="Arial" w:cs="Arial"/>
                <w:sz w:val="19"/>
                <w:szCs w:val="19"/>
              </w:rPr>
            </w:pPr>
            <w:r w:rsidRPr="003A056F">
              <w:rPr>
                <w:rFonts w:ascii="Arial" w:hAnsi="Arial" w:cs="Arial"/>
                <w:sz w:val="19"/>
                <w:szCs w:val="19"/>
              </w:rPr>
              <w:t>Předávací</w:t>
            </w:r>
            <w:r>
              <w:rPr>
                <w:rFonts w:ascii="Arial" w:hAnsi="Arial" w:cs="Arial"/>
                <w:sz w:val="19"/>
                <w:szCs w:val="19"/>
              </w:rPr>
              <w:t xml:space="preserve"> </w:t>
            </w:r>
            <w:r w:rsidRPr="003A056F">
              <w:rPr>
                <w:rFonts w:ascii="Arial" w:hAnsi="Arial" w:cs="Arial"/>
                <w:sz w:val="19"/>
                <w:szCs w:val="19"/>
              </w:rPr>
              <w:t>protokol podepsaný zadavatelem</w:t>
            </w:r>
          </w:p>
        </w:tc>
      </w:tr>
      <w:tr w:rsidR="009131A3" w:rsidTr="001C113E">
        <w:trPr>
          <w:trHeight w:val="852"/>
        </w:trPr>
        <w:tc>
          <w:tcPr>
            <w:tcW w:w="797" w:type="pct"/>
            <w:tcBorders>
              <w:top w:val="nil"/>
              <w:left w:val="single" w:sz="8" w:space="0" w:color="auto"/>
              <w:bottom w:val="single" w:sz="8" w:space="0" w:color="auto"/>
              <w:right w:val="single" w:sz="8" w:space="0" w:color="auto"/>
            </w:tcBorders>
            <w:shd w:val="clear" w:color="auto" w:fill="FFFFFF"/>
            <w:vAlign w:val="center"/>
          </w:tcPr>
          <w:p w:rsidR="009131A3" w:rsidRDefault="009131A3" w:rsidP="001C113E">
            <w:pPr>
              <w:jc w:val="center"/>
              <w:rPr>
                <w:rFonts w:ascii="Arial" w:hAnsi="Arial" w:cs="Arial"/>
                <w:b/>
                <w:bCs/>
                <w:sz w:val="19"/>
                <w:szCs w:val="19"/>
              </w:rPr>
            </w:pPr>
            <w:r>
              <w:rPr>
                <w:rFonts w:ascii="Arial" w:hAnsi="Arial" w:cs="Arial"/>
                <w:b/>
                <w:bCs/>
                <w:sz w:val="19"/>
                <w:szCs w:val="19"/>
              </w:rPr>
              <w:t>2. dílčí etapa</w:t>
            </w:r>
          </w:p>
        </w:tc>
        <w:tc>
          <w:tcPr>
            <w:tcW w:w="1086" w:type="pct"/>
            <w:tcBorders>
              <w:top w:val="nil"/>
              <w:left w:val="nil"/>
              <w:bottom w:val="single" w:sz="8" w:space="0" w:color="auto"/>
              <w:right w:val="single" w:sz="8" w:space="0" w:color="auto"/>
            </w:tcBorders>
            <w:shd w:val="clear" w:color="auto" w:fill="FFFFFF"/>
            <w:vAlign w:val="center"/>
          </w:tcPr>
          <w:p w:rsidR="009131A3" w:rsidRPr="000B41BA" w:rsidRDefault="009131A3" w:rsidP="001C113E">
            <w:pPr>
              <w:jc w:val="center"/>
              <w:rPr>
                <w:rFonts w:ascii="Arial" w:hAnsi="Arial" w:cs="Arial"/>
                <w:b/>
                <w:bCs/>
                <w:sz w:val="19"/>
                <w:szCs w:val="19"/>
              </w:rPr>
            </w:pPr>
            <w:r w:rsidRPr="000B41BA">
              <w:rPr>
                <w:rFonts w:ascii="Arial" w:hAnsi="Arial" w:cs="Arial"/>
                <w:b/>
                <w:bCs/>
                <w:sz w:val="19"/>
                <w:szCs w:val="19"/>
              </w:rPr>
              <w:t xml:space="preserve">do </w:t>
            </w:r>
            <w:r>
              <w:rPr>
                <w:rFonts w:ascii="Arial" w:hAnsi="Arial" w:cs="Arial"/>
                <w:b/>
                <w:bCs/>
                <w:sz w:val="19"/>
                <w:szCs w:val="19"/>
              </w:rPr>
              <w:t>4</w:t>
            </w:r>
            <w:r w:rsidRPr="000B41BA">
              <w:rPr>
                <w:rFonts w:ascii="Arial" w:hAnsi="Arial" w:cs="Arial"/>
                <w:b/>
                <w:bCs/>
                <w:sz w:val="19"/>
                <w:szCs w:val="19"/>
              </w:rPr>
              <w:t xml:space="preserve"> měsíců </w:t>
            </w:r>
          </w:p>
          <w:p w:rsidR="009131A3" w:rsidRDefault="009131A3" w:rsidP="001C113E">
            <w:pPr>
              <w:jc w:val="center"/>
              <w:rPr>
                <w:rFonts w:ascii="Arial" w:hAnsi="Arial" w:cs="Arial"/>
                <w:b/>
                <w:bCs/>
                <w:sz w:val="19"/>
                <w:szCs w:val="19"/>
              </w:rPr>
            </w:pPr>
            <w:r w:rsidRPr="000B41BA">
              <w:rPr>
                <w:rFonts w:ascii="Arial" w:hAnsi="Arial" w:cs="Arial"/>
                <w:b/>
                <w:bCs/>
                <w:sz w:val="19"/>
                <w:szCs w:val="19"/>
              </w:rPr>
              <w:t>od nabytí účinnosti SOD</w:t>
            </w:r>
          </w:p>
        </w:tc>
        <w:tc>
          <w:tcPr>
            <w:tcW w:w="1739" w:type="pct"/>
            <w:tcBorders>
              <w:top w:val="nil"/>
              <w:left w:val="nil"/>
              <w:bottom w:val="single" w:sz="8" w:space="0" w:color="auto"/>
              <w:right w:val="single" w:sz="8" w:space="0" w:color="auto"/>
            </w:tcBorders>
            <w:shd w:val="clear" w:color="auto" w:fill="FFFFFF"/>
            <w:vAlign w:val="center"/>
          </w:tcPr>
          <w:p w:rsidR="009131A3" w:rsidRDefault="009131A3" w:rsidP="001C113E">
            <w:pPr>
              <w:pStyle w:val="TPText-3neslovan"/>
              <w:tabs>
                <w:tab w:val="num" w:pos="851"/>
              </w:tabs>
              <w:ind w:left="0"/>
              <w:jc w:val="center"/>
              <w:rPr>
                <w:rFonts w:ascii="Arial" w:hAnsi="Arial"/>
                <w:sz w:val="19"/>
                <w:szCs w:val="19"/>
              </w:rPr>
            </w:pPr>
            <w:r>
              <w:rPr>
                <w:rFonts w:ascii="Arial" w:hAnsi="Arial"/>
                <w:bCs/>
                <w:sz w:val="19"/>
                <w:szCs w:val="19"/>
              </w:rPr>
              <w:t>Čistopis odsouhlaseného n</w:t>
            </w:r>
            <w:r w:rsidRPr="000B41BA">
              <w:rPr>
                <w:rFonts w:ascii="Arial" w:hAnsi="Arial"/>
                <w:bCs/>
                <w:sz w:val="19"/>
                <w:szCs w:val="19"/>
              </w:rPr>
              <w:t>ávrh</w:t>
            </w:r>
            <w:r>
              <w:rPr>
                <w:rFonts w:ascii="Arial" w:hAnsi="Arial"/>
                <w:bCs/>
                <w:sz w:val="19"/>
                <w:szCs w:val="19"/>
              </w:rPr>
              <w:t xml:space="preserve">u stavby (architektonické </w:t>
            </w:r>
            <w:r w:rsidRPr="000B41BA">
              <w:rPr>
                <w:rFonts w:ascii="Arial" w:hAnsi="Arial"/>
                <w:bCs/>
                <w:sz w:val="19"/>
                <w:szCs w:val="19"/>
              </w:rPr>
              <w:t>studie)</w:t>
            </w:r>
            <w:r>
              <w:rPr>
                <w:rFonts w:ascii="Arial" w:hAnsi="Arial"/>
                <w:bCs/>
                <w:sz w:val="19"/>
                <w:szCs w:val="19"/>
              </w:rPr>
              <w:t xml:space="preserve"> </w:t>
            </w:r>
            <w:r w:rsidRPr="00EE16E0">
              <w:rPr>
                <w:rFonts w:ascii="Arial" w:hAnsi="Arial"/>
                <w:bCs/>
                <w:sz w:val="19"/>
                <w:szCs w:val="19"/>
              </w:rPr>
              <w:t>včetně hodnocení ekonomické efektivnosti</w:t>
            </w:r>
          </w:p>
        </w:tc>
        <w:tc>
          <w:tcPr>
            <w:tcW w:w="1377" w:type="pct"/>
            <w:tcBorders>
              <w:top w:val="nil"/>
              <w:left w:val="nil"/>
              <w:bottom w:val="single" w:sz="8" w:space="0" w:color="auto"/>
              <w:right w:val="single" w:sz="8" w:space="0" w:color="auto"/>
            </w:tcBorders>
            <w:shd w:val="clear" w:color="auto" w:fill="FFFFFF"/>
            <w:vAlign w:val="center"/>
          </w:tcPr>
          <w:p w:rsidR="009131A3" w:rsidRDefault="009131A3" w:rsidP="001C113E">
            <w:pPr>
              <w:ind w:left="248" w:right="-54" w:hanging="197"/>
              <w:jc w:val="center"/>
              <w:rPr>
                <w:rFonts w:ascii="Arial" w:hAnsi="Arial" w:cs="Arial"/>
                <w:sz w:val="19"/>
                <w:szCs w:val="19"/>
              </w:rPr>
            </w:pPr>
            <w:r w:rsidRPr="003A056F">
              <w:rPr>
                <w:rFonts w:ascii="Arial" w:hAnsi="Arial" w:cs="Arial"/>
                <w:sz w:val="19"/>
                <w:szCs w:val="19"/>
              </w:rPr>
              <w:t>Předávací</w:t>
            </w:r>
            <w:r>
              <w:rPr>
                <w:rFonts w:ascii="Arial" w:hAnsi="Arial" w:cs="Arial"/>
                <w:sz w:val="19"/>
                <w:szCs w:val="19"/>
              </w:rPr>
              <w:t xml:space="preserve"> </w:t>
            </w:r>
            <w:r w:rsidRPr="003A056F">
              <w:rPr>
                <w:rFonts w:ascii="Arial" w:hAnsi="Arial" w:cs="Arial"/>
                <w:sz w:val="19"/>
                <w:szCs w:val="19"/>
              </w:rPr>
              <w:t>protokol podepsaný zadavatelem</w:t>
            </w:r>
          </w:p>
        </w:tc>
      </w:tr>
      <w:tr w:rsidR="009131A3" w:rsidTr="001C113E">
        <w:trPr>
          <w:trHeight w:val="1301"/>
        </w:trPr>
        <w:tc>
          <w:tcPr>
            <w:tcW w:w="797" w:type="pct"/>
            <w:tcBorders>
              <w:top w:val="nil"/>
              <w:left w:val="single" w:sz="8" w:space="0" w:color="auto"/>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t>3. dílčí etapa</w:t>
            </w:r>
          </w:p>
        </w:tc>
        <w:tc>
          <w:tcPr>
            <w:tcW w:w="1086" w:type="pct"/>
            <w:tcBorders>
              <w:top w:val="nil"/>
              <w:left w:val="nil"/>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t xml:space="preserve">do 3 měsíců </w:t>
            </w:r>
          </w:p>
          <w:p w:rsidR="009131A3" w:rsidRDefault="009131A3" w:rsidP="001C113E">
            <w:pPr>
              <w:jc w:val="center"/>
              <w:rPr>
                <w:rFonts w:ascii="Arial" w:hAnsi="Arial" w:cs="Arial"/>
                <w:b/>
                <w:bCs/>
                <w:sz w:val="19"/>
                <w:szCs w:val="19"/>
              </w:rPr>
            </w:pPr>
            <w:r>
              <w:rPr>
                <w:rFonts w:ascii="Arial" w:hAnsi="Arial" w:cs="Arial"/>
                <w:b/>
                <w:bCs/>
                <w:sz w:val="19"/>
                <w:szCs w:val="19"/>
              </w:rPr>
              <w:t>od schválení varianty Návrhu stavby</w:t>
            </w:r>
          </w:p>
        </w:tc>
        <w:tc>
          <w:tcPr>
            <w:tcW w:w="1739" w:type="pct"/>
            <w:tcBorders>
              <w:top w:val="nil"/>
              <w:left w:val="nil"/>
              <w:bottom w:val="single" w:sz="8" w:space="0" w:color="auto"/>
              <w:right w:val="single" w:sz="8" w:space="0" w:color="auto"/>
            </w:tcBorders>
            <w:shd w:val="clear" w:color="auto" w:fill="FFFFFF"/>
            <w:vAlign w:val="center"/>
          </w:tcPr>
          <w:p w:rsidR="009131A3" w:rsidRDefault="009131A3" w:rsidP="001C113E">
            <w:pPr>
              <w:pStyle w:val="TPText-3neslovan"/>
              <w:tabs>
                <w:tab w:val="num" w:pos="851"/>
              </w:tabs>
              <w:ind w:left="0"/>
              <w:jc w:val="center"/>
              <w:rPr>
                <w:rFonts w:ascii="Arial" w:hAnsi="Arial"/>
                <w:sz w:val="19"/>
                <w:szCs w:val="19"/>
              </w:rPr>
            </w:pPr>
            <w:r>
              <w:rPr>
                <w:rFonts w:ascii="Arial" w:hAnsi="Arial"/>
                <w:sz w:val="19"/>
                <w:szCs w:val="19"/>
              </w:rPr>
              <w:t xml:space="preserve">DUSP vč. SR, </w:t>
            </w:r>
          </w:p>
          <w:p w:rsidR="009131A3" w:rsidRDefault="009131A3" w:rsidP="001C113E">
            <w:pPr>
              <w:pStyle w:val="TPText-3neslovan"/>
              <w:tabs>
                <w:tab w:val="num" w:pos="851"/>
              </w:tabs>
              <w:ind w:left="0"/>
              <w:jc w:val="center"/>
              <w:rPr>
                <w:rFonts w:ascii="Arial" w:hAnsi="Arial"/>
                <w:sz w:val="19"/>
                <w:szCs w:val="19"/>
              </w:rPr>
            </w:pPr>
            <w:r>
              <w:rPr>
                <w:rFonts w:ascii="Arial" w:hAnsi="Arial"/>
                <w:sz w:val="19"/>
                <w:szCs w:val="19"/>
              </w:rPr>
              <w:t xml:space="preserve">PDPS </w:t>
            </w:r>
          </w:p>
          <w:p w:rsidR="009131A3" w:rsidRDefault="009131A3" w:rsidP="001C113E">
            <w:pPr>
              <w:pStyle w:val="TPText-3neslovan"/>
              <w:tabs>
                <w:tab w:val="num" w:pos="851"/>
              </w:tabs>
              <w:ind w:left="0"/>
              <w:jc w:val="center"/>
              <w:rPr>
                <w:rFonts w:ascii="Arial" w:hAnsi="Arial"/>
                <w:sz w:val="19"/>
                <w:szCs w:val="19"/>
              </w:rPr>
            </w:pPr>
            <w:r>
              <w:rPr>
                <w:rFonts w:ascii="Arial" w:hAnsi="Arial"/>
                <w:sz w:val="19"/>
                <w:szCs w:val="19"/>
              </w:rPr>
              <w:t>k připomínkám</w:t>
            </w:r>
          </w:p>
        </w:tc>
        <w:tc>
          <w:tcPr>
            <w:tcW w:w="1377" w:type="pct"/>
            <w:tcBorders>
              <w:top w:val="nil"/>
              <w:left w:val="nil"/>
              <w:bottom w:val="single" w:sz="8" w:space="0" w:color="auto"/>
              <w:right w:val="single" w:sz="8" w:space="0" w:color="auto"/>
            </w:tcBorders>
            <w:shd w:val="clear" w:color="auto" w:fill="FFFFFF"/>
            <w:vAlign w:val="center"/>
            <w:hideMark/>
          </w:tcPr>
          <w:p w:rsidR="009131A3" w:rsidRDefault="009131A3" w:rsidP="001C113E">
            <w:pPr>
              <w:ind w:left="248" w:right="-54" w:hanging="197"/>
              <w:jc w:val="center"/>
              <w:rPr>
                <w:rFonts w:ascii="Arial" w:hAnsi="Arial" w:cs="Arial"/>
                <w:sz w:val="19"/>
                <w:szCs w:val="19"/>
              </w:rPr>
            </w:pPr>
            <w:r>
              <w:rPr>
                <w:rFonts w:ascii="Arial" w:hAnsi="Arial" w:cs="Arial"/>
                <w:sz w:val="19"/>
                <w:szCs w:val="19"/>
              </w:rPr>
              <w:t>Předávací protokol podepsaný zadavatelem</w:t>
            </w:r>
          </w:p>
        </w:tc>
      </w:tr>
      <w:tr w:rsidR="009131A3" w:rsidTr="001C113E">
        <w:trPr>
          <w:trHeight w:val="2486"/>
        </w:trPr>
        <w:tc>
          <w:tcPr>
            <w:tcW w:w="797" w:type="pct"/>
            <w:tcBorders>
              <w:top w:val="nil"/>
              <w:left w:val="single" w:sz="8" w:space="0" w:color="auto"/>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lastRenderedPageBreak/>
              <w:t>4. dílčí etapa</w:t>
            </w:r>
          </w:p>
        </w:tc>
        <w:tc>
          <w:tcPr>
            <w:tcW w:w="1086" w:type="pct"/>
            <w:tcBorders>
              <w:top w:val="nil"/>
              <w:left w:val="nil"/>
              <w:bottom w:val="single" w:sz="8" w:space="0" w:color="auto"/>
              <w:right w:val="single" w:sz="8" w:space="0" w:color="auto"/>
            </w:tcBorders>
            <w:shd w:val="clear" w:color="auto" w:fill="FFFFFF"/>
            <w:vAlign w:val="center"/>
            <w:hideMark/>
          </w:tcPr>
          <w:p w:rsidR="009131A3" w:rsidRPr="00BD6E37" w:rsidRDefault="009131A3" w:rsidP="001C113E">
            <w:pPr>
              <w:jc w:val="center"/>
              <w:rPr>
                <w:rFonts w:ascii="Arial" w:hAnsi="Arial" w:cs="Arial"/>
                <w:b/>
                <w:bCs/>
                <w:sz w:val="19"/>
                <w:szCs w:val="19"/>
              </w:rPr>
            </w:pPr>
            <w:r w:rsidRPr="00BD6E37">
              <w:rPr>
                <w:rFonts w:ascii="Arial" w:hAnsi="Arial" w:cs="Arial"/>
                <w:b/>
                <w:bCs/>
                <w:sz w:val="19"/>
                <w:szCs w:val="19"/>
              </w:rPr>
              <w:t xml:space="preserve">do </w:t>
            </w:r>
            <w:r>
              <w:rPr>
                <w:rFonts w:ascii="Arial" w:hAnsi="Arial" w:cs="Arial"/>
                <w:b/>
                <w:bCs/>
                <w:sz w:val="19"/>
                <w:szCs w:val="19"/>
              </w:rPr>
              <w:t>5</w:t>
            </w:r>
            <w:r w:rsidRPr="00BD6E37">
              <w:rPr>
                <w:rFonts w:ascii="Arial" w:hAnsi="Arial" w:cs="Arial"/>
                <w:b/>
                <w:bCs/>
                <w:sz w:val="19"/>
                <w:szCs w:val="19"/>
              </w:rPr>
              <w:t xml:space="preserve"> měsíců </w:t>
            </w:r>
          </w:p>
          <w:p w:rsidR="009131A3" w:rsidRDefault="009131A3" w:rsidP="001C113E">
            <w:pPr>
              <w:jc w:val="center"/>
              <w:rPr>
                <w:rFonts w:ascii="Arial" w:hAnsi="Arial" w:cs="Arial"/>
                <w:b/>
                <w:bCs/>
                <w:sz w:val="19"/>
                <w:szCs w:val="19"/>
              </w:rPr>
            </w:pPr>
            <w:r w:rsidRPr="00BD6E37">
              <w:rPr>
                <w:rFonts w:ascii="Arial" w:hAnsi="Arial" w:cs="Arial"/>
                <w:b/>
                <w:bCs/>
                <w:sz w:val="19"/>
                <w:szCs w:val="19"/>
              </w:rPr>
              <w:t>od schválení varianty Návrhu stavby</w:t>
            </w:r>
          </w:p>
        </w:tc>
        <w:tc>
          <w:tcPr>
            <w:tcW w:w="1739" w:type="pct"/>
            <w:tcBorders>
              <w:top w:val="nil"/>
              <w:left w:val="nil"/>
              <w:bottom w:val="single" w:sz="8" w:space="0" w:color="auto"/>
              <w:right w:val="single" w:sz="8" w:space="0" w:color="auto"/>
            </w:tcBorders>
            <w:shd w:val="clear" w:color="auto" w:fill="FFFFFF"/>
            <w:vAlign w:val="center"/>
          </w:tcPr>
          <w:p w:rsidR="009131A3" w:rsidRPr="007526F0" w:rsidRDefault="009131A3" w:rsidP="001C113E">
            <w:pPr>
              <w:pStyle w:val="TPText-3neslovan"/>
              <w:tabs>
                <w:tab w:val="num" w:pos="851"/>
              </w:tabs>
              <w:ind w:left="0"/>
              <w:jc w:val="center"/>
              <w:rPr>
                <w:rFonts w:ascii="Arial" w:hAnsi="Arial"/>
                <w:bCs/>
                <w:sz w:val="19"/>
                <w:szCs w:val="19"/>
              </w:rPr>
            </w:pPr>
            <w:r>
              <w:rPr>
                <w:rFonts w:ascii="Arial" w:hAnsi="Arial"/>
                <w:sz w:val="19"/>
                <w:szCs w:val="19"/>
              </w:rPr>
              <w:t xml:space="preserve">Čistopis DUSP s potvrzenou žádostí o společné povolení od příslušného stavebního úřadu, </w:t>
            </w:r>
            <w:r>
              <w:rPr>
                <w:rFonts w:ascii="Arial" w:hAnsi="Arial"/>
                <w:sz w:val="19"/>
                <w:szCs w:val="19"/>
              </w:rPr>
              <w:br/>
              <w:t xml:space="preserve">vč. EH a SR, PDPS s kompletní dokladovou částí, specifikací pro výběr zhotovitele stavby, </w:t>
            </w:r>
            <w:r>
              <w:rPr>
                <w:rFonts w:ascii="Arial" w:hAnsi="Arial"/>
                <w:sz w:val="19"/>
                <w:szCs w:val="19"/>
              </w:rPr>
              <w:br/>
              <w:t xml:space="preserve">oceněného a neoceněného soupisu prací s výkazem výměr, včetně všeobecného objektu </w:t>
            </w:r>
            <w:r w:rsidRPr="007526F0">
              <w:rPr>
                <w:rFonts w:ascii="Arial" w:hAnsi="Arial"/>
                <w:bCs/>
                <w:sz w:val="19"/>
                <w:szCs w:val="19"/>
              </w:rPr>
              <w:t>a</w:t>
            </w:r>
          </w:p>
          <w:p w:rsidR="009131A3" w:rsidRDefault="009131A3" w:rsidP="001C113E">
            <w:pPr>
              <w:pStyle w:val="TPText-3neslovan"/>
              <w:tabs>
                <w:tab w:val="num" w:pos="851"/>
              </w:tabs>
              <w:ind w:left="0"/>
              <w:jc w:val="center"/>
              <w:rPr>
                <w:rFonts w:ascii="Arial" w:hAnsi="Arial"/>
                <w:bCs/>
                <w:sz w:val="19"/>
                <w:szCs w:val="19"/>
              </w:rPr>
            </w:pPr>
            <w:r w:rsidRPr="007526F0">
              <w:rPr>
                <w:rFonts w:ascii="Arial" w:hAnsi="Arial"/>
                <w:bCs/>
                <w:sz w:val="19"/>
                <w:szCs w:val="19"/>
              </w:rPr>
              <w:t>podání žádosti o společné povolení</w:t>
            </w:r>
          </w:p>
        </w:tc>
        <w:tc>
          <w:tcPr>
            <w:tcW w:w="1377" w:type="pct"/>
            <w:tcBorders>
              <w:top w:val="nil"/>
              <w:left w:val="nil"/>
              <w:bottom w:val="single" w:sz="8" w:space="0" w:color="auto"/>
              <w:right w:val="single" w:sz="8" w:space="0" w:color="auto"/>
            </w:tcBorders>
            <w:shd w:val="clear" w:color="auto" w:fill="FFFFFF"/>
            <w:vAlign w:val="center"/>
            <w:hideMark/>
          </w:tcPr>
          <w:p w:rsidR="009131A3" w:rsidRDefault="009131A3" w:rsidP="001C113E">
            <w:pPr>
              <w:ind w:left="248" w:right="-54" w:hanging="197"/>
              <w:jc w:val="center"/>
              <w:rPr>
                <w:rFonts w:ascii="Arial" w:hAnsi="Arial" w:cs="Arial"/>
                <w:sz w:val="19"/>
                <w:szCs w:val="19"/>
              </w:rPr>
            </w:pPr>
            <w:r>
              <w:rPr>
                <w:rFonts w:ascii="Arial" w:hAnsi="Arial" w:cs="Arial"/>
                <w:sz w:val="19"/>
                <w:szCs w:val="19"/>
              </w:rPr>
              <w:t xml:space="preserve">Předávací protokol podepsaný zadavatelem + </w:t>
            </w:r>
            <w:r w:rsidRPr="00EE34C8">
              <w:rPr>
                <w:rFonts w:ascii="Arial" w:hAnsi="Arial" w:cs="Arial"/>
                <w:sz w:val="19"/>
                <w:szCs w:val="19"/>
              </w:rPr>
              <w:t xml:space="preserve">Kopie žádosti předaná </w:t>
            </w:r>
            <w:r w:rsidRPr="00721E98">
              <w:rPr>
                <w:rFonts w:ascii="Arial" w:hAnsi="Arial" w:cs="Arial"/>
                <w:sz w:val="19"/>
                <w:szCs w:val="19"/>
              </w:rPr>
              <w:t>Zadavateli, potvrzená</w:t>
            </w:r>
            <w:r w:rsidRPr="00EE34C8">
              <w:rPr>
                <w:rFonts w:ascii="Arial" w:hAnsi="Arial" w:cs="Arial"/>
                <w:sz w:val="19"/>
                <w:szCs w:val="19"/>
              </w:rPr>
              <w:t xml:space="preserve"> podatelnou stavebního úřadu</w:t>
            </w:r>
          </w:p>
        </w:tc>
      </w:tr>
      <w:tr w:rsidR="009131A3" w:rsidTr="001C113E">
        <w:trPr>
          <w:trHeight w:val="1430"/>
        </w:trPr>
        <w:tc>
          <w:tcPr>
            <w:tcW w:w="797" w:type="pct"/>
            <w:tcBorders>
              <w:top w:val="nil"/>
              <w:left w:val="single" w:sz="8" w:space="0" w:color="auto"/>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t>5. dílčí etapa</w:t>
            </w:r>
          </w:p>
        </w:tc>
        <w:tc>
          <w:tcPr>
            <w:tcW w:w="1086" w:type="pct"/>
            <w:tcBorders>
              <w:top w:val="nil"/>
              <w:left w:val="nil"/>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t xml:space="preserve">do 8 měsíců </w:t>
            </w:r>
          </w:p>
          <w:p w:rsidR="009131A3" w:rsidRDefault="009131A3" w:rsidP="001C113E">
            <w:pPr>
              <w:jc w:val="center"/>
              <w:rPr>
                <w:rFonts w:ascii="Arial" w:hAnsi="Arial" w:cs="Arial"/>
                <w:b/>
                <w:bCs/>
                <w:sz w:val="19"/>
                <w:szCs w:val="19"/>
              </w:rPr>
            </w:pPr>
            <w:r>
              <w:rPr>
                <w:rFonts w:ascii="Arial" w:hAnsi="Arial" w:cs="Arial"/>
                <w:b/>
                <w:bCs/>
                <w:sz w:val="19"/>
                <w:szCs w:val="19"/>
              </w:rPr>
              <w:t>od schválení varianty Návrhu stavby</w:t>
            </w:r>
          </w:p>
        </w:tc>
        <w:tc>
          <w:tcPr>
            <w:tcW w:w="1739" w:type="pct"/>
            <w:tcBorders>
              <w:top w:val="nil"/>
              <w:left w:val="nil"/>
              <w:bottom w:val="single" w:sz="8" w:space="0" w:color="auto"/>
              <w:right w:val="single" w:sz="8" w:space="0" w:color="auto"/>
            </w:tcBorders>
            <w:shd w:val="clear" w:color="auto" w:fill="FFFFFF"/>
            <w:vAlign w:val="center"/>
            <w:hideMark/>
          </w:tcPr>
          <w:p w:rsidR="009131A3" w:rsidRDefault="009131A3" w:rsidP="001C113E">
            <w:pPr>
              <w:pStyle w:val="TSlneksmlouvy"/>
              <w:spacing w:before="0" w:after="0"/>
              <w:ind w:left="0" w:right="-54"/>
              <w:rPr>
                <w:b w:val="0"/>
                <w:sz w:val="19"/>
                <w:szCs w:val="19"/>
                <w:u w:val="none"/>
                <w:lang w:val="cs-CZ"/>
              </w:rPr>
            </w:pPr>
            <w:r>
              <w:rPr>
                <w:b w:val="0"/>
                <w:sz w:val="19"/>
                <w:szCs w:val="19"/>
                <w:u w:val="none"/>
                <w:lang w:val="cs-CZ"/>
              </w:rPr>
              <w:t>Kompletní majetkové vypořádání;</w:t>
            </w:r>
          </w:p>
          <w:p w:rsidR="009131A3" w:rsidRDefault="009131A3" w:rsidP="001C113E">
            <w:pPr>
              <w:pStyle w:val="TSlneksmlouvy"/>
              <w:spacing w:before="0" w:after="0"/>
              <w:ind w:left="0" w:right="-54"/>
              <w:rPr>
                <w:b w:val="0"/>
                <w:sz w:val="19"/>
                <w:szCs w:val="19"/>
                <w:u w:val="none"/>
                <w:lang w:val="cs-CZ"/>
              </w:rPr>
            </w:pPr>
            <w:r>
              <w:rPr>
                <w:b w:val="0"/>
                <w:sz w:val="19"/>
                <w:szCs w:val="19"/>
                <w:u w:val="none"/>
                <w:lang w:val="cs-CZ"/>
              </w:rPr>
              <w:t>Společné povolení</w:t>
            </w:r>
          </w:p>
          <w:p w:rsidR="009131A3" w:rsidRDefault="009131A3" w:rsidP="001C113E">
            <w:pPr>
              <w:pStyle w:val="TSlneksmlouvy"/>
              <w:spacing w:before="0" w:after="0"/>
              <w:ind w:left="0" w:right="-54"/>
              <w:rPr>
                <w:b w:val="0"/>
                <w:sz w:val="19"/>
                <w:szCs w:val="19"/>
                <w:u w:val="none"/>
                <w:lang w:val="cs-CZ"/>
              </w:rPr>
            </w:pPr>
            <w:r>
              <w:rPr>
                <w:b w:val="0"/>
                <w:sz w:val="19"/>
                <w:szCs w:val="19"/>
                <w:u w:val="none"/>
                <w:lang w:val="cs-CZ"/>
              </w:rPr>
              <w:t>v právní moci</w:t>
            </w:r>
          </w:p>
        </w:tc>
        <w:tc>
          <w:tcPr>
            <w:tcW w:w="1377" w:type="pct"/>
            <w:tcBorders>
              <w:top w:val="nil"/>
              <w:left w:val="nil"/>
              <w:bottom w:val="single" w:sz="8" w:space="0" w:color="auto"/>
              <w:right w:val="single" w:sz="8" w:space="0" w:color="auto"/>
            </w:tcBorders>
            <w:shd w:val="clear" w:color="auto" w:fill="FFFFFF"/>
            <w:vAlign w:val="center"/>
            <w:hideMark/>
          </w:tcPr>
          <w:p w:rsidR="009131A3" w:rsidRDefault="009131A3" w:rsidP="001C113E">
            <w:pPr>
              <w:ind w:left="66" w:right="-54" w:hanging="15"/>
              <w:jc w:val="center"/>
              <w:rPr>
                <w:rFonts w:ascii="Arial" w:hAnsi="Arial" w:cs="Arial"/>
                <w:sz w:val="19"/>
                <w:szCs w:val="19"/>
              </w:rPr>
            </w:pPr>
            <w:r>
              <w:rPr>
                <w:rFonts w:ascii="Arial" w:hAnsi="Arial" w:cs="Arial"/>
                <w:sz w:val="19"/>
                <w:szCs w:val="19"/>
              </w:rPr>
              <w:t>Předání kompletního majetkového vypořádání a společného povolení, vč. nabytí právní moci</w:t>
            </w:r>
          </w:p>
        </w:tc>
      </w:tr>
      <w:tr w:rsidR="009131A3" w:rsidTr="001C113E">
        <w:trPr>
          <w:trHeight w:val="801"/>
        </w:trPr>
        <w:tc>
          <w:tcPr>
            <w:tcW w:w="797" w:type="pct"/>
            <w:tcBorders>
              <w:top w:val="nil"/>
              <w:left w:val="single" w:sz="8" w:space="0" w:color="auto"/>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t>6. dílčí etapa – ukončení díla</w:t>
            </w:r>
          </w:p>
        </w:tc>
        <w:tc>
          <w:tcPr>
            <w:tcW w:w="1086" w:type="pct"/>
            <w:tcBorders>
              <w:top w:val="nil"/>
              <w:left w:val="nil"/>
              <w:bottom w:val="single" w:sz="8" w:space="0" w:color="auto"/>
              <w:right w:val="single" w:sz="8" w:space="0" w:color="auto"/>
            </w:tcBorders>
            <w:shd w:val="clear" w:color="auto" w:fill="FFFFFF"/>
            <w:vAlign w:val="center"/>
            <w:hideMark/>
          </w:tcPr>
          <w:p w:rsidR="009131A3" w:rsidRDefault="009131A3" w:rsidP="001C113E">
            <w:pPr>
              <w:jc w:val="center"/>
              <w:rPr>
                <w:rFonts w:ascii="Arial" w:hAnsi="Arial" w:cs="Arial"/>
                <w:b/>
                <w:bCs/>
                <w:sz w:val="19"/>
                <w:szCs w:val="19"/>
              </w:rPr>
            </w:pPr>
            <w:r>
              <w:rPr>
                <w:rFonts w:ascii="Arial" w:hAnsi="Arial" w:cs="Arial"/>
                <w:b/>
                <w:bCs/>
                <w:sz w:val="19"/>
                <w:szCs w:val="19"/>
              </w:rPr>
              <w:t xml:space="preserve">6 měsíců </w:t>
            </w:r>
            <w:r>
              <w:rPr>
                <w:rFonts w:ascii="Arial" w:hAnsi="Arial" w:cs="Arial"/>
                <w:b/>
                <w:bCs/>
                <w:sz w:val="19"/>
                <w:szCs w:val="19"/>
              </w:rPr>
              <w:br/>
              <w:t>(předpoklad 10/2022 – 03/2023)</w:t>
            </w:r>
          </w:p>
        </w:tc>
        <w:tc>
          <w:tcPr>
            <w:tcW w:w="1739" w:type="pct"/>
            <w:tcBorders>
              <w:top w:val="nil"/>
              <w:left w:val="nil"/>
              <w:bottom w:val="single" w:sz="8" w:space="0" w:color="auto"/>
              <w:right w:val="single" w:sz="8" w:space="0" w:color="auto"/>
            </w:tcBorders>
            <w:shd w:val="clear" w:color="auto" w:fill="FFFFFF"/>
            <w:vAlign w:val="center"/>
            <w:hideMark/>
          </w:tcPr>
          <w:p w:rsidR="009131A3" w:rsidRDefault="009131A3" w:rsidP="001C113E">
            <w:pPr>
              <w:pStyle w:val="TSlneksmlouvy"/>
              <w:spacing w:before="0" w:after="0"/>
              <w:ind w:left="0" w:right="-54" w:firstLine="51"/>
              <w:rPr>
                <w:b w:val="0"/>
                <w:sz w:val="19"/>
                <w:szCs w:val="19"/>
                <w:u w:val="none"/>
                <w:lang w:val="cs-CZ"/>
              </w:rPr>
            </w:pPr>
            <w:r>
              <w:rPr>
                <w:b w:val="0"/>
                <w:sz w:val="19"/>
                <w:szCs w:val="19"/>
                <w:u w:val="none"/>
                <w:lang w:val="cs-CZ"/>
              </w:rPr>
              <w:t>Autorský dozor projektanta při realizaci stavby; zhotovitel se zavazuje provádět AD ode dne zahájení realizace stavby do ukončení realizace stavby v předpokládané délce 6 měsíců</w:t>
            </w:r>
          </w:p>
        </w:tc>
        <w:tc>
          <w:tcPr>
            <w:tcW w:w="1377" w:type="pct"/>
            <w:tcBorders>
              <w:top w:val="nil"/>
              <w:left w:val="nil"/>
              <w:bottom w:val="single" w:sz="8" w:space="0" w:color="auto"/>
              <w:right w:val="single" w:sz="8" w:space="0" w:color="auto"/>
            </w:tcBorders>
            <w:shd w:val="clear" w:color="auto" w:fill="FFFFFF"/>
            <w:vAlign w:val="center"/>
            <w:hideMark/>
          </w:tcPr>
          <w:p w:rsidR="009131A3" w:rsidRDefault="009131A3" w:rsidP="001C113E">
            <w:pPr>
              <w:ind w:left="248" w:right="-54" w:hanging="197"/>
              <w:jc w:val="center"/>
              <w:rPr>
                <w:rFonts w:ascii="Arial" w:hAnsi="Arial" w:cs="Arial"/>
                <w:sz w:val="19"/>
                <w:szCs w:val="19"/>
              </w:rPr>
            </w:pPr>
            <w:r>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342175">
        <w:rPr>
          <w:rFonts w:ascii="Arial" w:hAnsi="Arial" w:cs="Arial"/>
          <w:sz w:val="19"/>
          <w:szCs w:val="19"/>
        </w:rPr>
        <w:t>5.1.6</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lastRenderedPageBreak/>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2175" w:rsidRDefault="00FD601F" w:rsidP="00C003EB">
            <w:pPr>
              <w:jc w:val="center"/>
              <w:rPr>
                <w:rFonts w:ascii="Arial" w:hAnsi="Arial" w:cs="Arial"/>
                <w:sz w:val="19"/>
                <w:szCs w:val="19"/>
                <w:lang w:eastAsia="en-US"/>
              </w:rPr>
            </w:pPr>
            <w:r w:rsidRPr="00342175">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2175" w:rsidRDefault="00FD601F" w:rsidP="00C003EB">
            <w:pPr>
              <w:jc w:val="center"/>
              <w:rPr>
                <w:rFonts w:ascii="Arial" w:hAnsi="Arial" w:cs="Arial"/>
                <w:sz w:val="19"/>
                <w:szCs w:val="19"/>
                <w:lang w:eastAsia="en-US"/>
              </w:rPr>
            </w:pPr>
            <w:r w:rsidRPr="00342175">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2175" w:rsidRDefault="00FD601F" w:rsidP="00C003EB">
            <w:pPr>
              <w:jc w:val="center"/>
              <w:rPr>
                <w:rFonts w:ascii="Arial" w:hAnsi="Arial" w:cs="Arial"/>
                <w:sz w:val="19"/>
                <w:szCs w:val="19"/>
                <w:lang w:eastAsia="en-US"/>
              </w:rPr>
            </w:pPr>
            <w:r w:rsidRPr="00342175">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2175" w:rsidRDefault="00FD601F" w:rsidP="00C003EB">
            <w:pPr>
              <w:jc w:val="center"/>
              <w:rPr>
                <w:rFonts w:ascii="Arial" w:hAnsi="Arial" w:cs="Arial"/>
                <w:sz w:val="19"/>
                <w:szCs w:val="19"/>
                <w:lang w:eastAsia="en-US"/>
              </w:rPr>
            </w:pPr>
            <w:r w:rsidRPr="00342175">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42175" w:rsidRDefault="00FD601F" w:rsidP="00C003EB">
            <w:pPr>
              <w:jc w:val="center"/>
              <w:rPr>
                <w:rFonts w:ascii="Arial" w:hAnsi="Arial" w:cs="Arial"/>
                <w:sz w:val="19"/>
                <w:szCs w:val="19"/>
                <w:lang w:eastAsia="en-US"/>
              </w:rPr>
            </w:pPr>
            <w:r w:rsidRPr="00342175">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42175"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42175"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42175"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342175">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342175" w:rsidP="003F656B">
            <w:pPr>
              <w:jc w:val="center"/>
              <w:rPr>
                <w:rFonts w:ascii="Arial" w:hAnsi="Arial" w:cs="Arial"/>
                <w:sz w:val="19"/>
                <w:szCs w:val="19"/>
                <w:lang w:eastAsia="en-US"/>
              </w:rPr>
            </w:pPr>
            <w:r>
              <w:rPr>
                <w:rFonts w:ascii="Arial" w:hAnsi="Arial" w:cs="Arial"/>
                <w:sz w:val="19"/>
                <w:szCs w:val="19"/>
                <w:lang w:eastAsia="en-US"/>
              </w:rPr>
              <w:t>3</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342175">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1E6D25"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1E6D25" w:rsidRDefault="001E6D25" w:rsidP="00FD601F">
            <w:pPr>
              <w:jc w:val="center"/>
              <w:rPr>
                <w:rFonts w:ascii="Arial" w:hAnsi="Arial" w:cs="Arial"/>
                <w:sz w:val="19"/>
                <w:szCs w:val="19"/>
                <w:lang w:eastAsia="en-US"/>
              </w:rPr>
            </w:pPr>
            <w:r>
              <w:rPr>
                <w:rFonts w:ascii="Arial" w:hAnsi="Arial" w:cs="Arial"/>
                <w:sz w:val="19"/>
                <w:szCs w:val="19"/>
                <w:lang w:eastAsia="en-US"/>
              </w:rPr>
              <w:t>18</w:t>
            </w:r>
          </w:p>
        </w:tc>
        <w:tc>
          <w:tcPr>
            <w:tcW w:w="3827" w:type="dxa"/>
            <w:tcBorders>
              <w:top w:val="single" w:sz="4" w:space="0" w:color="auto"/>
              <w:left w:val="single" w:sz="4" w:space="0" w:color="auto"/>
              <w:bottom w:val="single" w:sz="4" w:space="0" w:color="auto"/>
              <w:right w:val="single" w:sz="4" w:space="0" w:color="auto"/>
            </w:tcBorders>
            <w:vAlign w:val="center"/>
          </w:tcPr>
          <w:p w:rsidR="001E6D25" w:rsidRPr="00DA4104" w:rsidRDefault="001E6D25" w:rsidP="003F656B">
            <w:pPr>
              <w:rPr>
                <w:rFonts w:ascii="Arial" w:hAnsi="Arial" w:cs="Arial"/>
                <w:sz w:val="18"/>
                <w:szCs w:val="19"/>
              </w:rPr>
            </w:pPr>
            <w:r>
              <w:rPr>
                <w:rFonts w:ascii="Arial" w:hAnsi="Arial" w:cs="Arial"/>
                <w:sz w:val="18"/>
                <w:szCs w:val="19"/>
              </w:rPr>
              <w:t>Návrh stavby – studie</w:t>
            </w:r>
          </w:p>
        </w:tc>
        <w:tc>
          <w:tcPr>
            <w:tcW w:w="846" w:type="dxa"/>
            <w:tcBorders>
              <w:top w:val="single" w:sz="4" w:space="0" w:color="auto"/>
              <w:left w:val="single" w:sz="4" w:space="0" w:color="auto"/>
              <w:bottom w:val="single" w:sz="4" w:space="0" w:color="auto"/>
              <w:right w:val="single" w:sz="4" w:space="0" w:color="auto"/>
            </w:tcBorders>
            <w:vAlign w:val="center"/>
          </w:tcPr>
          <w:p w:rsidR="001E6D25" w:rsidRPr="00DB245B" w:rsidRDefault="001E6D25"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1E6D25" w:rsidRPr="00DB245B" w:rsidRDefault="001E6D25"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1E6D25" w:rsidRPr="00DB245B" w:rsidRDefault="001E6D25"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1E6D25" w:rsidRPr="00DB245B" w:rsidRDefault="001E6D25" w:rsidP="00C003EB">
            <w:pPr>
              <w:jc w:val="center"/>
              <w:rPr>
                <w:rFonts w:ascii="Arial" w:hAnsi="Arial" w:cs="Arial"/>
                <w:sz w:val="19"/>
                <w:szCs w:val="19"/>
                <w:lang w:eastAsia="en-US"/>
              </w:rPr>
            </w:pPr>
          </w:p>
        </w:tc>
      </w:tr>
      <w:tr w:rsidR="001E6D25"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1E6D25" w:rsidRDefault="001E6D25" w:rsidP="00FD601F">
            <w:pPr>
              <w:jc w:val="center"/>
              <w:rPr>
                <w:rFonts w:ascii="Arial" w:hAnsi="Arial" w:cs="Arial"/>
                <w:sz w:val="19"/>
                <w:szCs w:val="19"/>
                <w:lang w:eastAsia="en-US"/>
              </w:rPr>
            </w:pPr>
            <w:r>
              <w:rPr>
                <w:rFonts w:ascii="Arial" w:hAnsi="Arial" w:cs="Arial"/>
                <w:sz w:val="19"/>
                <w:szCs w:val="19"/>
                <w:lang w:eastAsia="en-US"/>
              </w:rPr>
              <w:t>19</w:t>
            </w:r>
          </w:p>
        </w:tc>
        <w:tc>
          <w:tcPr>
            <w:tcW w:w="3827" w:type="dxa"/>
            <w:tcBorders>
              <w:top w:val="single" w:sz="4" w:space="0" w:color="auto"/>
              <w:left w:val="single" w:sz="4" w:space="0" w:color="auto"/>
              <w:bottom w:val="single" w:sz="4" w:space="0" w:color="auto"/>
              <w:right w:val="single" w:sz="4" w:space="0" w:color="auto"/>
            </w:tcBorders>
            <w:vAlign w:val="center"/>
          </w:tcPr>
          <w:p w:rsidR="001E6D25" w:rsidRPr="00DA4104" w:rsidRDefault="001E6D25" w:rsidP="003F656B">
            <w:pPr>
              <w:rPr>
                <w:rFonts w:ascii="Arial" w:hAnsi="Arial" w:cs="Arial"/>
                <w:sz w:val="18"/>
                <w:szCs w:val="19"/>
              </w:rPr>
            </w:pPr>
            <w:r>
              <w:rPr>
                <w:rFonts w:ascii="Arial" w:hAnsi="Arial" w:cs="Arial"/>
                <w:sz w:val="18"/>
                <w:szCs w:val="19"/>
              </w:rPr>
              <w:t>Vizualizace</w:t>
            </w:r>
          </w:p>
        </w:tc>
        <w:tc>
          <w:tcPr>
            <w:tcW w:w="846" w:type="dxa"/>
            <w:tcBorders>
              <w:top w:val="single" w:sz="4" w:space="0" w:color="auto"/>
              <w:left w:val="single" w:sz="4" w:space="0" w:color="auto"/>
              <w:bottom w:val="single" w:sz="4" w:space="0" w:color="auto"/>
              <w:right w:val="single" w:sz="4" w:space="0" w:color="auto"/>
            </w:tcBorders>
            <w:vAlign w:val="center"/>
          </w:tcPr>
          <w:p w:rsidR="001E6D25" w:rsidRPr="00DB245B" w:rsidRDefault="001E6D25"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1E6D25" w:rsidRPr="00DB245B" w:rsidRDefault="001E6D25"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1E6D25" w:rsidRPr="00DB245B" w:rsidRDefault="001E6D25"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1E6D25" w:rsidRPr="00DB245B" w:rsidRDefault="001E6D25"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lastRenderedPageBreak/>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1E6D25" w:rsidRPr="001E6D25" w:rsidRDefault="001E6D25" w:rsidP="001E6D25">
      <w:pPr>
        <w:pStyle w:val="Nadpis7"/>
        <w:numPr>
          <w:ilvl w:val="0"/>
          <w:numId w:val="25"/>
        </w:numPr>
        <w:spacing w:after="120"/>
        <w:jc w:val="both"/>
        <w:rPr>
          <w:i w:val="0"/>
          <w:sz w:val="19"/>
          <w:szCs w:val="19"/>
        </w:rPr>
      </w:pPr>
      <w:r w:rsidRPr="001E6D25">
        <w:rPr>
          <w:i w:val="0"/>
          <w:sz w:val="19"/>
          <w:szCs w:val="19"/>
        </w:rPr>
        <w:t xml:space="preserve">Předání díla dle odst. 4.2 smlouvy - </w:t>
      </w:r>
      <w:r w:rsidRPr="00F21D10">
        <w:rPr>
          <w:b/>
          <w:i w:val="0"/>
          <w:sz w:val="19"/>
          <w:szCs w:val="19"/>
        </w:rPr>
        <w:t xml:space="preserve">1. dílčí etapa plnění - do 2 měsíců od nabytí účinnosti SOD, fakturace 60 % z ceny položek č. 1, 2, </w:t>
      </w:r>
      <w:r w:rsidR="00B469CF">
        <w:rPr>
          <w:b/>
          <w:i w:val="0"/>
          <w:sz w:val="19"/>
          <w:szCs w:val="19"/>
        </w:rPr>
        <w:t xml:space="preserve">3, </w:t>
      </w:r>
      <w:r w:rsidRPr="00F21D10">
        <w:rPr>
          <w:b/>
          <w:i w:val="0"/>
          <w:sz w:val="19"/>
          <w:szCs w:val="19"/>
        </w:rPr>
        <w:t xml:space="preserve">4, 8, 18 a 19 odst. </w:t>
      </w:r>
      <w:proofErr w:type="gramStart"/>
      <w:r w:rsidRPr="00F21D10">
        <w:rPr>
          <w:b/>
          <w:i w:val="0"/>
          <w:sz w:val="19"/>
          <w:szCs w:val="19"/>
        </w:rPr>
        <w:t>5.2. smlouvy</w:t>
      </w:r>
      <w:proofErr w:type="gramEnd"/>
      <w:r w:rsidRPr="001E6D25">
        <w:rPr>
          <w:i w:val="0"/>
          <w:sz w:val="19"/>
          <w:szCs w:val="19"/>
        </w:rPr>
        <w:t xml:space="preserve">. Daňový doklad - fakturu v celkové výši </w:t>
      </w:r>
      <w:r w:rsidRPr="001E6D25">
        <w:rPr>
          <w:i w:val="0"/>
          <w:sz w:val="19"/>
          <w:szCs w:val="19"/>
          <w:highlight w:val="yellow"/>
        </w:rPr>
        <w:t xml:space="preserve">……. </w:t>
      </w:r>
      <w:r w:rsidRPr="00F21D10">
        <w:rPr>
          <w:b/>
          <w:i w:val="0"/>
          <w:sz w:val="19"/>
          <w:szCs w:val="19"/>
          <w:highlight w:val="yellow"/>
        </w:rPr>
        <w:t>,</w:t>
      </w:r>
      <w:r w:rsidRPr="00F21D10">
        <w:rPr>
          <w:b/>
          <w:i w:val="0"/>
          <w:sz w:val="19"/>
          <w:szCs w:val="19"/>
        </w:rPr>
        <w:t>- Kč</w:t>
      </w:r>
      <w:r w:rsidRPr="001E6D25">
        <w:rPr>
          <w:i w:val="0"/>
          <w:sz w:val="19"/>
          <w:szCs w:val="19"/>
        </w:rPr>
        <w:t xml:space="preserve"> (bez DPH) předloží zhotovitel </w:t>
      </w:r>
      <w:r w:rsidRPr="00F21D10">
        <w:rPr>
          <w:b/>
          <w:i w:val="0"/>
          <w:sz w:val="19"/>
          <w:szCs w:val="19"/>
        </w:rPr>
        <w:t>do 15 dnů po předání a převzetí této části díla.</w:t>
      </w:r>
      <w:r w:rsidRPr="001E6D25">
        <w:rPr>
          <w:i w:val="0"/>
          <w:sz w:val="19"/>
          <w:szCs w:val="19"/>
        </w:rPr>
        <w:t xml:space="preserve"> </w:t>
      </w:r>
    </w:p>
    <w:p w:rsidR="001E6D25" w:rsidRPr="00F21D10" w:rsidRDefault="001E6D25" w:rsidP="001E6D25">
      <w:pPr>
        <w:pStyle w:val="Nadpis7"/>
        <w:numPr>
          <w:ilvl w:val="0"/>
          <w:numId w:val="25"/>
        </w:numPr>
        <w:spacing w:after="120"/>
        <w:jc w:val="both"/>
        <w:rPr>
          <w:b/>
          <w:i w:val="0"/>
          <w:sz w:val="19"/>
          <w:szCs w:val="19"/>
        </w:rPr>
      </w:pPr>
      <w:r w:rsidRPr="001E6D25">
        <w:rPr>
          <w:i w:val="0"/>
          <w:sz w:val="19"/>
          <w:szCs w:val="19"/>
        </w:rPr>
        <w:t xml:space="preserve">Předání díla dle odst. 4.2 smlouvy - </w:t>
      </w:r>
      <w:r w:rsidRPr="00F21D10">
        <w:rPr>
          <w:b/>
          <w:i w:val="0"/>
          <w:sz w:val="19"/>
          <w:szCs w:val="19"/>
        </w:rPr>
        <w:t>2. dílčí etapa plnění - do 4 měsíců od nabytí účinnosti SOD, 40 % z ceny položek č. 1, 2,</w:t>
      </w:r>
      <w:r w:rsidR="00B469CF">
        <w:rPr>
          <w:b/>
          <w:i w:val="0"/>
          <w:sz w:val="19"/>
          <w:szCs w:val="19"/>
        </w:rPr>
        <w:t xml:space="preserve"> 3,</w:t>
      </w:r>
      <w:r w:rsidRPr="00F21D10">
        <w:rPr>
          <w:b/>
          <w:i w:val="0"/>
          <w:sz w:val="19"/>
          <w:szCs w:val="19"/>
        </w:rPr>
        <w:t xml:space="preserve"> 4, 8, 18 a 19 odst. </w:t>
      </w:r>
      <w:proofErr w:type="gramStart"/>
      <w:r w:rsidRPr="00F21D10">
        <w:rPr>
          <w:b/>
          <w:i w:val="0"/>
          <w:sz w:val="19"/>
          <w:szCs w:val="19"/>
        </w:rPr>
        <w:t>5.2. smlouvy</w:t>
      </w:r>
      <w:proofErr w:type="gramEnd"/>
      <w:r w:rsidRPr="00F21D10">
        <w:rPr>
          <w:b/>
          <w:i w:val="0"/>
          <w:sz w:val="19"/>
          <w:szCs w:val="19"/>
        </w:rPr>
        <w:t>.</w:t>
      </w:r>
      <w:r w:rsidRPr="001E6D25">
        <w:rPr>
          <w:i w:val="0"/>
          <w:sz w:val="19"/>
          <w:szCs w:val="19"/>
        </w:rPr>
        <w:t xml:space="preserve">  Daňový doklad - fakturu v celkové výši </w:t>
      </w:r>
      <w:r w:rsidRPr="001E6D25">
        <w:rPr>
          <w:i w:val="0"/>
          <w:sz w:val="19"/>
          <w:szCs w:val="19"/>
          <w:highlight w:val="yellow"/>
        </w:rPr>
        <w:t>…….</w:t>
      </w:r>
      <w:r w:rsidRPr="001E6D25">
        <w:rPr>
          <w:i w:val="0"/>
          <w:sz w:val="19"/>
          <w:szCs w:val="19"/>
        </w:rPr>
        <w:t xml:space="preserve"> </w:t>
      </w:r>
      <w:r w:rsidRPr="00F21D10">
        <w:rPr>
          <w:b/>
          <w:i w:val="0"/>
          <w:sz w:val="19"/>
          <w:szCs w:val="19"/>
        </w:rPr>
        <w:t>,- Kč</w:t>
      </w:r>
      <w:r w:rsidRPr="001E6D25">
        <w:rPr>
          <w:i w:val="0"/>
          <w:sz w:val="19"/>
          <w:szCs w:val="19"/>
        </w:rPr>
        <w:t xml:space="preserve"> (bez DPH) předloží zhotovitel </w:t>
      </w:r>
      <w:r w:rsidRPr="00F21D10">
        <w:rPr>
          <w:b/>
          <w:i w:val="0"/>
          <w:sz w:val="19"/>
          <w:szCs w:val="19"/>
        </w:rPr>
        <w:t xml:space="preserve">do 15 dnů po předání a převzetí této části díla. </w:t>
      </w:r>
    </w:p>
    <w:p w:rsidR="001E6D25" w:rsidRPr="001E6D25" w:rsidRDefault="001E6D25" w:rsidP="001E6D25">
      <w:pPr>
        <w:pStyle w:val="Nadpis7"/>
        <w:numPr>
          <w:ilvl w:val="0"/>
          <w:numId w:val="25"/>
        </w:numPr>
        <w:spacing w:after="120"/>
        <w:jc w:val="both"/>
        <w:rPr>
          <w:i w:val="0"/>
          <w:sz w:val="19"/>
          <w:szCs w:val="19"/>
        </w:rPr>
      </w:pPr>
      <w:r w:rsidRPr="001E6D25">
        <w:rPr>
          <w:i w:val="0"/>
          <w:sz w:val="19"/>
          <w:szCs w:val="19"/>
        </w:rPr>
        <w:t xml:space="preserve">Předání díla dle odst. 4.2 smlouvy - </w:t>
      </w:r>
      <w:r w:rsidRPr="00F21D10">
        <w:rPr>
          <w:b/>
          <w:i w:val="0"/>
          <w:sz w:val="19"/>
          <w:szCs w:val="19"/>
        </w:rPr>
        <w:t xml:space="preserve">3. dílčí etapa plnění - do </w:t>
      </w:r>
      <w:r w:rsidR="00B469CF">
        <w:rPr>
          <w:b/>
          <w:i w:val="0"/>
          <w:sz w:val="19"/>
          <w:szCs w:val="19"/>
        </w:rPr>
        <w:t>3</w:t>
      </w:r>
      <w:r w:rsidRPr="00F21D10">
        <w:rPr>
          <w:b/>
          <w:i w:val="0"/>
          <w:sz w:val="19"/>
          <w:szCs w:val="19"/>
        </w:rPr>
        <w:t xml:space="preserve"> měsíců od schválení varianty Návrhu stavby, </w:t>
      </w:r>
      <w:r w:rsidRPr="00F21D10">
        <w:rPr>
          <w:i w:val="0"/>
          <w:sz w:val="19"/>
          <w:szCs w:val="19"/>
        </w:rPr>
        <w:t xml:space="preserve">fakturace ceny dle položek č. 6 a </w:t>
      </w:r>
      <w:r w:rsidR="00D8526C">
        <w:rPr>
          <w:i w:val="0"/>
          <w:sz w:val="19"/>
          <w:szCs w:val="19"/>
        </w:rPr>
        <w:t xml:space="preserve">č. </w:t>
      </w:r>
      <w:r w:rsidRPr="00F21D10">
        <w:rPr>
          <w:i w:val="0"/>
          <w:sz w:val="19"/>
          <w:szCs w:val="19"/>
        </w:rPr>
        <w:t xml:space="preserve">7 odst. </w:t>
      </w:r>
      <w:proofErr w:type="gramStart"/>
      <w:r w:rsidRPr="00F21D10">
        <w:rPr>
          <w:i w:val="0"/>
          <w:sz w:val="19"/>
          <w:szCs w:val="19"/>
        </w:rPr>
        <w:t>5.2. smlouvy</w:t>
      </w:r>
      <w:proofErr w:type="gramEnd"/>
      <w:r w:rsidRPr="001E6D25">
        <w:rPr>
          <w:i w:val="0"/>
          <w:sz w:val="19"/>
          <w:szCs w:val="19"/>
        </w:rPr>
        <w:t xml:space="preserve">, </w:t>
      </w:r>
      <w:r w:rsidRPr="00F21D10">
        <w:rPr>
          <w:b/>
          <w:i w:val="0"/>
          <w:sz w:val="19"/>
          <w:szCs w:val="19"/>
        </w:rPr>
        <w:t>nejvýše však 50% celkové ceny díla</w:t>
      </w:r>
      <w:r w:rsidRPr="001E6D25">
        <w:rPr>
          <w:i w:val="0"/>
          <w:sz w:val="19"/>
          <w:szCs w:val="19"/>
        </w:rPr>
        <w:t xml:space="preserve"> (bez DPH), </w:t>
      </w:r>
      <w:r w:rsidRPr="00F21D10">
        <w:rPr>
          <w:b/>
          <w:i w:val="0"/>
          <w:sz w:val="19"/>
          <w:szCs w:val="19"/>
        </w:rPr>
        <w:t>bez AD</w:t>
      </w:r>
      <w:r w:rsidRPr="001E6D25">
        <w:rPr>
          <w:i w:val="0"/>
          <w:sz w:val="19"/>
          <w:szCs w:val="19"/>
        </w:rPr>
        <w:t xml:space="preserve">. Daňový doklad - fakturu v celkové výši </w:t>
      </w:r>
      <w:r w:rsidRPr="00F21D10">
        <w:rPr>
          <w:i w:val="0"/>
          <w:sz w:val="19"/>
          <w:szCs w:val="19"/>
          <w:highlight w:val="yellow"/>
        </w:rPr>
        <w:t>…….</w:t>
      </w:r>
      <w:r w:rsidRPr="001E6D25">
        <w:rPr>
          <w:i w:val="0"/>
          <w:sz w:val="19"/>
          <w:szCs w:val="19"/>
        </w:rPr>
        <w:t xml:space="preserve"> </w:t>
      </w:r>
      <w:r w:rsidRPr="00F21D10">
        <w:rPr>
          <w:b/>
          <w:i w:val="0"/>
          <w:sz w:val="19"/>
          <w:szCs w:val="19"/>
        </w:rPr>
        <w:t>,- Kč</w:t>
      </w:r>
      <w:r w:rsidRPr="001E6D25">
        <w:rPr>
          <w:i w:val="0"/>
          <w:sz w:val="19"/>
          <w:szCs w:val="19"/>
        </w:rPr>
        <w:t xml:space="preserve"> (bez DPH) předloží zhotovitel </w:t>
      </w:r>
      <w:r w:rsidRPr="00F21D10">
        <w:rPr>
          <w:b/>
          <w:i w:val="0"/>
          <w:sz w:val="19"/>
          <w:szCs w:val="19"/>
        </w:rPr>
        <w:t>do 15 dnů po předání a převzetí této části díla.</w:t>
      </w:r>
      <w:r w:rsidRPr="001E6D25">
        <w:rPr>
          <w:i w:val="0"/>
          <w:sz w:val="19"/>
          <w:szCs w:val="19"/>
        </w:rPr>
        <w:t xml:space="preserve"> </w:t>
      </w:r>
    </w:p>
    <w:p w:rsidR="001E6D25" w:rsidRPr="00F21D10" w:rsidRDefault="001E6D25" w:rsidP="001E6D25">
      <w:pPr>
        <w:pStyle w:val="Nadpis7"/>
        <w:numPr>
          <w:ilvl w:val="0"/>
          <w:numId w:val="25"/>
        </w:numPr>
        <w:spacing w:after="120"/>
        <w:jc w:val="both"/>
        <w:rPr>
          <w:b/>
          <w:i w:val="0"/>
          <w:sz w:val="19"/>
          <w:szCs w:val="19"/>
        </w:rPr>
      </w:pPr>
      <w:r w:rsidRPr="001E6D25">
        <w:rPr>
          <w:i w:val="0"/>
          <w:sz w:val="19"/>
          <w:szCs w:val="19"/>
        </w:rPr>
        <w:t xml:space="preserve">Předání díla dle odst. 4.2 smlouvy - </w:t>
      </w:r>
      <w:r w:rsidRPr="00F21D10">
        <w:rPr>
          <w:b/>
          <w:i w:val="0"/>
          <w:sz w:val="19"/>
          <w:szCs w:val="19"/>
        </w:rPr>
        <w:t xml:space="preserve">4. dílčí etapa plnění do </w:t>
      </w:r>
      <w:r w:rsidR="00B469CF">
        <w:rPr>
          <w:b/>
          <w:i w:val="0"/>
          <w:sz w:val="19"/>
          <w:szCs w:val="19"/>
        </w:rPr>
        <w:t>5</w:t>
      </w:r>
      <w:r w:rsidRPr="00F21D10">
        <w:rPr>
          <w:b/>
          <w:i w:val="0"/>
          <w:sz w:val="19"/>
          <w:szCs w:val="19"/>
        </w:rPr>
        <w:t xml:space="preserve"> měsíců od schválení varianty Návrhu stavby</w:t>
      </w:r>
      <w:r w:rsidRPr="001E6D25">
        <w:rPr>
          <w:i w:val="0"/>
          <w:sz w:val="19"/>
          <w:szCs w:val="19"/>
        </w:rPr>
        <w:t xml:space="preserve">, fakturace ceny dle položek </w:t>
      </w:r>
      <w:r w:rsidRPr="005E23E9">
        <w:rPr>
          <w:i w:val="0"/>
          <w:sz w:val="19"/>
          <w:szCs w:val="19"/>
        </w:rPr>
        <w:t xml:space="preserve">č. 9 až č. 11 odst. </w:t>
      </w:r>
      <w:proofErr w:type="gramStart"/>
      <w:r w:rsidRPr="005E23E9">
        <w:rPr>
          <w:i w:val="0"/>
          <w:sz w:val="19"/>
          <w:szCs w:val="19"/>
        </w:rPr>
        <w:t>5.2.</w:t>
      </w:r>
      <w:r w:rsidR="00F21D10" w:rsidRPr="005E23E9">
        <w:rPr>
          <w:i w:val="0"/>
          <w:sz w:val="19"/>
          <w:szCs w:val="19"/>
        </w:rPr>
        <w:t xml:space="preserve"> </w:t>
      </w:r>
      <w:proofErr w:type="gramEnd"/>
      <w:r w:rsidR="00F21D10" w:rsidRPr="005E23E9">
        <w:rPr>
          <w:i w:val="0"/>
          <w:sz w:val="19"/>
          <w:szCs w:val="19"/>
        </w:rPr>
        <w:t>smlouvy</w:t>
      </w:r>
      <w:r w:rsidR="005E23E9">
        <w:rPr>
          <w:i w:val="0"/>
          <w:sz w:val="19"/>
          <w:szCs w:val="19"/>
        </w:rPr>
        <w:t>, případná do</w:t>
      </w:r>
      <w:bookmarkStart w:id="0" w:name="_GoBack"/>
      <w:bookmarkEnd w:id="0"/>
      <w:r w:rsidR="005E23E9">
        <w:rPr>
          <w:i w:val="0"/>
          <w:sz w:val="19"/>
          <w:szCs w:val="19"/>
        </w:rPr>
        <w:t>fakturace položek č. 6 a č. 7</w:t>
      </w:r>
      <w:r w:rsidR="00F21D10" w:rsidRPr="005E23E9">
        <w:rPr>
          <w:i w:val="0"/>
          <w:sz w:val="19"/>
          <w:szCs w:val="19"/>
        </w:rPr>
        <w:t>.</w:t>
      </w:r>
      <w:r w:rsidRPr="005E23E9">
        <w:rPr>
          <w:i w:val="0"/>
          <w:sz w:val="19"/>
          <w:szCs w:val="19"/>
        </w:rPr>
        <w:t xml:space="preserve"> Daňový doklad - fakturu v celkov</w:t>
      </w:r>
      <w:r w:rsidRPr="001E6D25">
        <w:rPr>
          <w:i w:val="0"/>
          <w:sz w:val="19"/>
          <w:szCs w:val="19"/>
        </w:rPr>
        <w:t xml:space="preserve">é výši </w:t>
      </w:r>
      <w:r w:rsidRPr="00F21D10">
        <w:rPr>
          <w:i w:val="0"/>
          <w:sz w:val="19"/>
          <w:szCs w:val="19"/>
          <w:highlight w:val="yellow"/>
        </w:rPr>
        <w:t>…….</w:t>
      </w:r>
      <w:r w:rsidRPr="001E6D25">
        <w:rPr>
          <w:i w:val="0"/>
          <w:sz w:val="19"/>
          <w:szCs w:val="19"/>
        </w:rPr>
        <w:t xml:space="preserve"> </w:t>
      </w:r>
      <w:r w:rsidRPr="00F21D10">
        <w:rPr>
          <w:b/>
          <w:i w:val="0"/>
          <w:sz w:val="19"/>
          <w:szCs w:val="19"/>
        </w:rPr>
        <w:t>,- Kč</w:t>
      </w:r>
      <w:r w:rsidRPr="001E6D25">
        <w:rPr>
          <w:i w:val="0"/>
          <w:sz w:val="19"/>
          <w:szCs w:val="19"/>
        </w:rPr>
        <w:t xml:space="preserve"> (bez DPH) předloží zhotovitel </w:t>
      </w:r>
      <w:r w:rsidRPr="00F21D10">
        <w:rPr>
          <w:b/>
          <w:i w:val="0"/>
          <w:sz w:val="19"/>
          <w:szCs w:val="19"/>
        </w:rPr>
        <w:t>do 15 dnů po předání a převzetí této části díla.</w:t>
      </w:r>
    </w:p>
    <w:p w:rsidR="001E6D25" w:rsidRPr="00F21D10" w:rsidRDefault="001E6D25" w:rsidP="00F21D10">
      <w:pPr>
        <w:pStyle w:val="Nadpis7"/>
        <w:numPr>
          <w:ilvl w:val="0"/>
          <w:numId w:val="25"/>
        </w:numPr>
        <w:spacing w:after="120"/>
        <w:jc w:val="both"/>
        <w:rPr>
          <w:i w:val="0"/>
          <w:sz w:val="19"/>
          <w:szCs w:val="19"/>
        </w:rPr>
      </w:pPr>
      <w:r w:rsidRPr="001E6D25">
        <w:rPr>
          <w:i w:val="0"/>
          <w:sz w:val="19"/>
          <w:szCs w:val="19"/>
        </w:rPr>
        <w:t xml:space="preserve">Předání díla dle odst. 4.2 smlouvy – </w:t>
      </w:r>
      <w:r w:rsidR="00B469CF">
        <w:rPr>
          <w:b/>
          <w:i w:val="0"/>
          <w:sz w:val="19"/>
          <w:szCs w:val="19"/>
        </w:rPr>
        <w:t>5. dílčí etapa plnění - do 8</w:t>
      </w:r>
      <w:r w:rsidRPr="00B469CF">
        <w:rPr>
          <w:b/>
          <w:i w:val="0"/>
          <w:sz w:val="19"/>
          <w:szCs w:val="19"/>
        </w:rPr>
        <w:t xml:space="preserve"> měsíců od schválení varianty Návrhu stavby</w:t>
      </w:r>
      <w:r w:rsidRPr="001E6D25">
        <w:rPr>
          <w:i w:val="0"/>
          <w:sz w:val="19"/>
          <w:szCs w:val="19"/>
        </w:rPr>
        <w:t xml:space="preserve">, fakturace ceny dle položek č. 12 až č. 16 odst. </w:t>
      </w:r>
      <w:proofErr w:type="gramStart"/>
      <w:r w:rsidRPr="001E6D25">
        <w:rPr>
          <w:i w:val="0"/>
          <w:sz w:val="19"/>
          <w:szCs w:val="19"/>
        </w:rPr>
        <w:t>5.2. smlouvy</w:t>
      </w:r>
      <w:proofErr w:type="gramEnd"/>
      <w:r w:rsidRPr="001E6D25">
        <w:rPr>
          <w:i w:val="0"/>
          <w:sz w:val="19"/>
          <w:szCs w:val="19"/>
        </w:rPr>
        <w:t xml:space="preserve"> (podmíněno předložením společného povolení s nabytím  právní moci). Daňový doklad - fakturu v celkové výši </w:t>
      </w:r>
      <w:r w:rsidRPr="00F21D10">
        <w:rPr>
          <w:i w:val="0"/>
          <w:sz w:val="19"/>
          <w:szCs w:val="19"/>
          <w:highlight w:val="yellow"/>
        </w:rPr>
        <w:t>…….</w:t>
      </w:r>
      <w:r w:rsidRPr="001E6D25">
        <w:rPr>
          <w:i w:val="0"/>
          <w:sz w:val="19"/>
          <w:szCs w:val="19"/>
        </w:rPr>
        <w:t xml:space="preserve"> </w:t>
      </w:r>
      <w:r w:rsidRPr="00B469CF">
        <w:rPr>
          <w:b/>
          <w:i w:val="0"/>
          <w:sz w:val="19"/>
          <w:szCs w:val="19"/>
        </w:rPr>
        <w:t>,- Kč</w:t>
      </w:r>
      <w:r w:rsidRPr="001E6D25">
        <w:rPr>
          <w:i w:val="0"/>
          <w:sz w:val="19"/>
          <w:szCs w:val="19"/>
        </w:rPr>
        <w:t xml:space="preserve"> (bez DPH) předloží zhotovitel </w:t>
      </w:r>
      <w:r w:rsidRPr="00B469CF">
        <w:rPr>
          <w:b/>
          <w:i w:val="0"/>
          <w:sz w:val="19"/>
          <w:szCs w:val="19"/>
        </w:rPr>
        <w:t>do 15 dnů po předání a převzetí celého díla.</w:t>
      </w:r>
      <w:r w:rsidRPr="001E6D25">
        <w:rPr>
          <w:i w:val="0"/>
          <w:sz w:val="19"/>
          <w:szCs w:val="19"/>
        </w:rPr>
        <w:t xml:space="preserve"> </w:t>
      </w:r>
    </w:p>
    <w:p w:rsidR="00F21D10" w:rsidRPr="00B469CF" w:rsidRDefault="001E6D25" w:rsidP="00F21D10">
      <w:pPr>
        <w:pStyle w:val="Nadpis7"/>
        <w:numPr>
          <w:ilvl w:val="0"/>
          <w:numId w:val="25"/>
        </w:numPr>
        <w:spacing w:after="120"/>
        <w:jc w:val="both"/>
        <w:rPr>
          <w:i w:val="0"/>
          <w:sz w:val="19"/>
          <w:szCs w:val="19"/>
        </w:rPr>
      </w:pPr>
      <w:r w:rsidRPr="001E6D25">
        <w:rPr>
          <w:i w:val="0"/>
          <w:sz w:val="19"/>
          <w:szCs w:val="19"/>
        </w:rPr>
        <w:t xml:space="preserve">Plnění dle odst. 4. 2. smlouvy – </w:t>
      </w:r>
      <w:r w:rsidR="00F21D10" w:rsidRPr="00B469CF">
        <w:rPr>
          <w:b/>
          <w:i w:val="0"/>
          <w:sz w:val="19"/>
          <w:szCs w:val="19"/>
        </w:rPr>
        <w:t>6</w:t>
      </w:r>
      <w:r w:rsidRPr="00B469CF">
        <w:rPr>
          <w:b/>
          <w:i w:val="0"/>
          <w:sz w:val="19"/>
          <w:szCs w:val="19"/>
        </w:rPr>
        <w:t xml:space="preserve">. dílčí etapa plnění - ukončení díla </w:t>
      </w:r>
      <w:r w:rsidR="000266DE">
        <w:rPr>
          <w:b/>
          <w:i w:val="0"/>
          <w:sz w:val="19"/>
          <w:szCs w:val="19"/>
        </w:rPr>
        <w:t>(předpoklad</w:t>
      </w:r>
      <w:r w:rsidRPr="00B469CF">
        <w:rPr>
          <w:b/>
          <w:i w:val="0"/>
          <w:sz w:val="19"/>
          <w:szCs w:val="19"/>
        </w:rPr>
        <w:t xml:space="preserve">  0</w:t>
      </w:r>
      <w:r w:rsidR="00B469CF" w:rsidRPr="00B469CF">
        <w:rPr>
          <w:b/>
          <w:i w:val="0"/>
          <w:sz w:val="19"/>
          <w:szCs w:val="19"/>
        </w:rPr>
        <w:t>3</w:t>
      </w:r>
      <w:r w:rsidRPr="00B469CF">
        <w:rPr>
          <w:b/>
          <w:i w:val="0"/>
          <w:sz w:val="19"/>
          <w:szCs w:val="19"/>
        </w:rPr>
        <w:t>/2023</w:t>
      </w:r>
      <w:r w:rsidR="000266DE">
        <w:rPr>
          <w:b/>
          <w:i w:val="0"/>
          <w:sz w:val="19"/>
          <w:szCs w:val="19"/>
        </w:rPr>
        <w:t>)</w:t>
      </w:r>
      <w:r w:rsidRPr="001E6D25">
        <w:rPr>
          <w:i w:val="0"/>
          <w:sz w:val="19"/>
          <w:szCs w:val="19"/>
        </w:rPr>
        <w:t xml:space="preserve">, fakturace ceny za Autorský dozor dle položky č. 17 odst. </w:t>
      </w:r>
      <w:proofErr w:type="gramStart"/>
      <w:r w:rsidRPr="001E6D25">
        <w:rPr>
          <w:i w:val="0"/>
          <w:sz w:val="19"/>
          <w:szCs w:val="19"/>
        </w:rPr>
        <w:t>5.2. smlouvy</w:t>
      </w:r>
      <w:proofErr w:type="gramEnd"/>
      <w:r w:rsidRPr="001E6D25">
        <w:rPr>
          <w:i w:val="0"/>
          <w:sz w:val="19"/>
          <w:szCs w:val="19"/>
        </w:rPr>
        <w:t xml:space="preserve">. Daňový doklad - fakturu v celkové výši </w:t>
      </w:r>
      <w:r w:rsidRPr="00F21D10">
        <w:rPr>
          <w:i w:val="0"/>
          <w:sz w:val="19"/>
          <w:szCs w:val="19"/>
          <w:highlight w:val="yellow"/>
        </w:rPr>
        <w:t xml:space="preserve">……. </w:t>
      </w:r>
      <w:r w:rsidRPr="00B469CF">
        <w:rPr>
          <w:b/>
          <w:i w:val="0"/>
          <w:sz w:val="19"/>
          <w:szCs w:val="19"/>
          <w:highlight w:val="yellow"/>
        </w:rPr>
        <w:t>,</w:t>
      </w:r>
      <w:r w:rsidRPr="00B469CF">
        <w:rPr>
          <w:b/>
          <w:i w:val="0"/>
          <w:sz w:val="19"/>
          <w:szCs w:val="19"/>
        </w:rPr>
        <w:t>- Kč</w:t>
      </w:r>
      <w:r w:rsidRPr="001E6D25">
        <w:rPr>
          <w:i w:val="0"/>
          <w:sz w:val="19"/>
          <w:szCs w:val="19"/>
        </w:rPr>
        <w:t xml:space="preserve"> (bez DPH) předloží zhotovitel </w:t>
      </w:r>
      <w:r w:rsidRPr="00B469CF">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lastRenderedPageBreak/>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B3782F">
      <w:pPr>
        <w:tabs>
          <w:tab w:val="left" w:pos="1440"/>
          <w:tab w:val="left" w:pos="2268"/>
          <w:tab w:val="left" w:pos="4536"/>
        </w:tabs>
        <w:jc w:val="both"/>
        <w:rPr>
          <w:rFonts w:ascii="Arial" w:hAnsi="Arial" w:cs="Arial"/>
          <w:sz w:val="19"/>
          <w:szCs w:val="19"/>
        </w:rPr>
      </w:pPr>
    </w:p>
    <w:p w:rsidR="005E7A59" w:rsidRPr="005E7A59" w:rsidRDefault="00B3782F" w:rsidP="005E7A59">
      <w:pPr>
        <w:tabs>
          <w:tab w:val="left" w:pos="1440"/>
          <w:tab w:val="left" w:pos="2268"/>
          <w:tab w:val="left" w:pos="4536"/>
        </w:tabs>
        <w:ind w:left="567" w:hanging="567"/>
        <w:jc w:val="both"/>
        <w:rPr>
          <w:rFonts w:ascii="Arial" w:hAnsi="Arial" w:cs="Arial"/>
          <w:sz w:val="19"/>
          <w:szCs w:val="19"/>
        </w:rPr>
      </w:pPr>
      <w:proofErr w:type="gramStart"/>
      <w:r>
        <w:rPr>
          <w:rFonts w:ascii="Arial" w:hAnsi="Arial" w:cs="Arial"/>
          <w:b/>
          <w:sz w:val="19"/>
          <w:szCs w:val="19"/>
        </w:rPr>
        <w:t>6.10</w:t>
      </w:r>
      <w:proofErr w:type="gramEnd"/>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B3782F"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005E7A59" w:rsidRPr="005E7A59">
        <w:rPr>
          <w:rFonts w:ascii="Arial" w:hAnsi="Arial" w:cs="Arial"/>
          <w:sz w:val="19"/>
          <w:szCs w:val="19"/>
        </w:rPr>
        <w:t>. této</w:t>
      </w:r>
      <w:proofErr w:type="gramEnd"/>
      <w:r w:rsidR="005E7A59"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lastRenderedPageBreak/>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w:t>
      </w:r>
      <w:proofErr w:type="gramStart"/>
      <w:r w:rsidR="009E5E34" w:rsidRPr="00687588">
        <w:rPr>
          <w:rFonts w:ascii="Arial" w:hAnsi="Arial" w:cs="Arial"/>
          <w:sz w:val="19"/>
          <w:szCs w:val="19"/>
        </w:rPr>
        <w:t>dokumentace</w:t>
      </w:r>
      <w:r w:rsidR="000A7689" w:rsidRPr="00687588">
        <w:rPr>
          <w:rFonts w:ascii="Arial" w:hAnsi="Arial" w:cs="Arial"/>
          <w:sz w:val="19"/>
          <w:szCs w:val="19"/>
        </w:rPr>
        <w:t>,</w:t>
      </w:r>
      <w:r w:rsidR="009E5E34" w:rsidRPr="00687588">
        <w:rPr>
          <w:rFonts w:ascii="Arial" w:hAnsi="Arial" w:cs="Arial"/>
          <w:sz w:val="19"/>
          <w:szCs w:val="19"/>
        </w:rPr>
        <w:t>;</w:t>
      </w:r>
      <w:proofErr w:type="gramEnd"/>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w:t>
      </w:r>
      <w:proofErr w:type="gramStart"/>
      <w:r w:rsidR="007A6EA0" w:rsidRPr="00687588">
        <w:rPr>
          <w:rFonts w:ascii="Arial" w:hAnsi="Arial" w:cs="Arial"/>
          <w:sz w:val="19"/>
          <w:szCs w:val="19"/>
        </w:rPr>
        <w:t>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w:t>
      </w:r>
      <w:proofErr w:type="gramEnd"/>
      <w:r w:rsidR="007A6EA0" w:rsidRPr="00687588">
        <w:rPr>
          <w:rFonts w:ascii="Arial" w:hAnsi="Arial" w:cs="Arial"/>
          <w:sz w:val="19"/>
          <w:szCs w:val="19"/>
        </w:rPr>
        <w:t xml:space="preserve">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lastRenderedPageBreak/>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5A0F21" w:rsidP="0029337E">
      <w:pPr>
        <w:ind w:left="567" w:hanging="567"/>
        <w:jc w:val="both"/>
        <w:rPr>
          <w:rFonts w:ascii="Arial" w:hAnsi="Arial" w:cs="Arial"/>
          <w:sz w:val="19"/>
          <w:szCs w:val="19"/>
        </w:rPr>
      </w:pPr>
      <w:proofErr w:type="gramStart"/>
      <w:r>
        <w:rPr>
          <w:rFonts w:ascii="Arial" w:hAnsi="Arial" w:cs="Arial"/>
          <w:b/>
          <w:sz w:val="19"/>
          <w:szCs w:val="19"/>
        </w:rPr>
        <w:t>8.12</w:t>
      </w:r>
      <w:proofErr w:type="gramEnd"/>
      <w:r w:rsidR="0029337E" w:rsidRPr="004C6A85">
        <w:rPr>
          <w:rFonts w:ascii="Arial" w:hAnsi="Arial" w:cs="Arial"/>
          <w:b/>
          <w:sz w:val="19"/>
          <w:szCs w:val="19"/>
        </w:rPr>
        <w:t>.</w:t>
      </w:r>
      <w:r w:rsidR="0029337E" w:rsidRPr="00687588">
        <w:rPr>
          <w:rFonts w:ascii="Arial" w:hAnsi="Arial" w:cs="Arial"/>
          <w:b/>
          <w:sz w:val="19"/>
          <w:szCs w:val="19"/>
        </w:rPr>
        <w:tab/>
      </w:r>
      <w:r w:rsidR="0029337E" w:rsidRPr="00687588">
        <w:rPr>
          <w:rFonts w:ascii="Arial" w:hAnsi="Arial" w:cs="Arial"/>
          <w:sz w:val="19"/>
          <w:szCs w:val="19"/>
        </w:rPr>
        <w:t>Článkem 8 není dotčeno právo na uplatňování smluvníc</w:t>
      </w:r>
      <w:r w:rsidR="00834BAF">
        <w:rPr>
          <w:rFonts w:ascii="Arial" w:hAnsi="Arial" w:cs="Arial"/>
          <w:sz w:val="19"/>
          <w:szCs w:val="19"/>
        </w:rPr>
        <w:t>h</w:t>
      </w:r>
      <w:r w:rsidR="0029337E" w:rsidRPr="00687588">
        <w:rPr>
          <w:rFonts w:ascii="Arial" w:hAnsi="Arial" w:cs="Arial"/>
          <w:sz w:val="19"/>
          <w:szCs w:val="19"/>
        </w:rPr>
        <w:t xml:space="preserve"> pokut uvedenýc</w:t>
      </w:r>
      <w:r w:rsidR="00834BAF">
        <w:rPr>
          <w:rFonts w:ascii="Arial" w:hAnsi="Arial" w:cs="Arial"/>
          <w:sz w:val="19"/>
          <w:szCs w:val="19"/>
        </w:rPr>
        <w:t>h</w:t>
      </w:r>
      <w:r w:rsidR="0029337E" w:rsidRPr="00687588">
        <w:rPr>
          <w:rFonts w:ascii="Arial" w:hAnsi="Arial" w:cs="Arial"/>
          <w:sz w:val="19"/>
          <w:szCs w:val="19"/>
        </w:rPr>
        <w:t xml:space="preserve"> v jiných ustanovení tét</w:t>
      </w:r>
      <w:r w:rsidR="00834BAF">
        <w:rPr>
          <w:rFonts w:ascii="Arial" w:hAnsi="Arial" w:cs="Arial"/>
          <w:sz w:val="19"/>
          <w:szCs w:val="19"/>
        </w:rPr>
        <w:t>o</w:t>
      </w:r>
      <w:r w:rsidR="0029337E"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w:t>
      </w:r>
      <w:r w:rsidRPr="0033438B">
        <w:rPr>
          <w:rFonts w:ascii="Arial" w:hAnsi="Arial" w:cs="Arial"/>
          <w:sz w:val="19"/>
          <w:szCs w:val="19"/>
        </w:rPr>
        <w:lastRenderedPageBreak/>
        <w:t xml:space="preserve">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w:t>
      </w:r>
      <w:proofErr w:type="gramStart"/>
      <w:r w:rsidR="00E57415" w:rsidRPr="00B47FE2">
        <w:rPr>
          <w:rFonts w:ascii="Arial" w:hAnsi="Arial" w:cs="Arial"/>
          <w:sz w:val="19"/>
          <w:szCs w:val="19"/>
          <w:highlight w:val="yellow"/>
        </w:rPr>
        <w:t xml:space="preserve">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proofErr w:type="gramEnd"/>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proofErr w:type="gramStart"/>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w:t>
      </w:r>
      <w:proofErr w:type="gramEnd"/>
      <w:r w:rsidR="00E57415" w:rsidRPr="00DB245B">
        <w:rPr>
          <w:rFonts w:ascii="Arial" w:hAnsi="Arial" w:cs="Arial"/>
          <w:bCs/>
          <w:sz w:val="19"/>
          <w:szCs w:val="19"/>
        </w:rPr>
        <w:t xml:space="preserve">,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lastRenderedPageBreak/>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w:t>
      </w:r>
      <w:r w:rsidRPr="00B36ED0">
        <w:rPr>
          <w:rFonts w:ascii="Arial" w:hAnsi="Arial" w:cs="Arial"/>
          <w:bCs/>
          <w:sz w:val="19"/>
          <w:szCs w:val="19"/>
        </w:rPr>
        <w:lastRenderedPageBreak/>
        <w:t xml:space="preserve">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lastRenderedPageBreak/>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roofErr w:type="gramStart"/>
      <w:r w:rsidRPr="00687588">
        <w:rPr>
          <w:rFonts w:ascii="Arial" w:hAnsi="Arial" w:cs="Arial"/>
          <w:sz w:val="19"/>
          <w:szCs w:val="19"/>
        </w:rPr>
        <w:t>…..</w:t>
      </w:r>
      <w:proofErr w:type="gramEnd"/>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40D" w:rsidRDefault="003C440D">
      <w:r>
        <w:separator/>
      </w:r>
    </w:p>
  </w:endnote>
  <w:endnote w:type="continuationSeparator" w:id="0">
    <w:p w:rsidR="003C440D" w:rsidRDefault="003C4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46E" w:rsidRDefault="000A746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A746E" w:rsidRDefault="000A746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46E" w:rsidRPr="00D75767" w:rsidRDefault="000A746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B7A57">
      <w:rPr>
        <w:rFonts w:ascii="Arial" w:hAnsi="Arial" w:cs="Arial"/>
        <w:noProof/>
        <w:sz w:val="18"/>
        <w:szCs w:val="18"/>
      </w:rPr>
      <w:t>6</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B7A57">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46E" w:rsidRPr="00D75767" w:rsidRDefault="000A746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FB543D">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FB543D">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40D" w:rsidRDefault="003C440D">
      <w:r>
        <w:separator/>
      </w:r>
    </w:p>
  </w:footnote>
  <w:footnote w:type="continuationSeparator" w:id="0">
    <w:p w:rsidR="003C440D" w:rsidRDefault="003C4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46E" w:rsidRPr="00F279F5" w:rsidRDefault="000A746E" w:rsidP="00F20E74">
    <w:pPr>
      <w:pStyle w:val="Zhlav"/>
      <w:pBdr>
        <w:bottom w:val="single" w:sz="6" w:space="1" w:color="auto"/>
      </w:pBdr>
      <w:jc w:val="right"/>
      <w:rPr>
        <w:rFonts w:ascii="Arial" w:hAnsi="Arial" w:cs="Arial"/>
        <w:bCs/>
        <w:i/>
        <w:color w:val="000000"/>
        <w:sz w:val="18"/>
        <w:szCs w:val="22"/>
      </w:rPr>
    </w:pPr>
    <w:r w:rsidRPr="00F279F5">
      <w:rPr>
        <w:rFonts w:ascii="Arial" w:hAnsi="Arial" w:cs="Arial"/>
        <w:bCs/>
        <w:i/>
        <w:color w:val="000000"/>
        <w:sz w:val="18"/>
        <w:szCs w:val="22"/>
      </w:rPr>
      <w:t xml:space="preserve">Zajištění bezbariérového přístupu a rekonstrukce podchodu v Tuklaty </w:t>
    </w:r>
    <w:proofErr w:type="spellStart"/>
    <w:r w:rsidRPr="00F279F5">
      <w:rPr>
        <w:rFonts w:ascii="Arial" w:hAnsi="Arial" w:cs="Arial"/>
        <w:bCs/>
        <w:i/>
        <w:color w:val="000000"/>
        <w:sz w:val="18"/>
        <w:szCs w:val="22"/>
      </w:rPr>
      <w:t>zast</w:t>
    </w:r>
    <w:proofErr w:type="spellEnd"/>
    <w:r w:rsidRPr="00F279F5">
      <w:rPr>
        <w:rFonts w:ascii="Arial" w:hAnsi="Arial" w:cs="Arial"/>
        <w:bCs/>
        <w:i/>
        <w:color w:val="000000"/>
        <w:sz w:val="18"/>
        <w:szCs w:val="22"/>
      </w:rPr>
      <w:t>.</w:t>
    </w:r>
  </w:p>
  <w:p w:rsidR="000A746E" w:rsidRPr="000B227B" w:rsidRDefault="000A746E" w:rsidP="00D038ED">
    <w:pPr>
      <w:pStyle w:val="Zhlav"/>
      <w:pBdr>
        <w:bottom w:val="single" w:sz="6" w:space="1" w:color="auto"/>
      </w:pBdr>
      <w:jc w:val="right"/>
      <w:rPr>
        <w:rFonts w:ascii="Arial" w:hAnsi="Arial" w:cs="Arial"/>
        <w:i/>
        <w:sz w:val="18"/>
        <w:szCs w:val="18"/>
      </w:rPr>
    </w:pPr>
    <w:r w:rsidRPr="00C37CB2">
      <w:rPr>
        <w:rFonts w:ascii="Arial" w:hAnsi="Arial" w:cs="Arial"/>
        <w:i/>
        <w:sz w:val="18"/>
        <w:szCs w:val="18"/>
      </w:rPr>
      <w:t>–</w:t>
    </w:r>
    <w:r>
      <w:rPr>
        <w:rFonts w:ascii="Arial" w:hAnsi="Arial" w:cs="Arial"/>
        <w:i/>
        <w:sz w:val="18"/>
        <w:szCs w:val="18"/>
      </w:rPr>
      <w:t xml:space="preserve"> DUSP, EH,</w:t>
    </w:r>
    <w:r w:rsidRPr="00C37CB2">
      <w:rPr>
        <w:rFonts w:ascii="Arial" w:hAnsi="Arial" w:cs="Arial"/>
        <w:i/>
        <w:sz w:val="18"/>
        <w:szCs w:val="18"/>
      </w:rPr>
      <w:t xml:space="preserve"> AD</w:t>
    </w:r>
  </w:p>
  <w:p w:rsidR="000A746E" w:rsidRPr="00F1357D" w:rsidRDefault="000A746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46E" w:rsidRPr="00C37CB2" w:rsidRDefault="000A746E" w:rsidP="00A03259">
    <w:pPr>
      <w:pStyle w:val="Zhlav"/>
      <w:pBdr>
        <w:bottom w:val="single" w:sz="6" w:space="1" w:color="auto"/>
      </w:pBdr>
      <w:jc w:val="right"/>
      <w:rPr>
        <w:rFonts w:ascii="Arial" w:hAnsi="Arial" w:cs="Arial"/>
        <w:i/>
        <w:sz w:val="18"/>
        <w:szCs w:val="18"/>
      </w:rPr>
    </w:pPr>
    <w:r w:rsidRPr="00C37CB2">
      <w:rPr>
        <w:rFonts w:ascii="Arial" w:hAnsi="Arial" w:cs="Arial"/>
        <w:i/>
        <w:sz w:val="18"/>
        <w:szCs w:val="18"/>
      </w:rPr>
      <w:t xml:space="preserve">Zajištění bezbariérového přístupu a rekonstrukce podchodu v Tuklaty </w:t>
    </w:r>
    <w:proofErr w:type="spellStart"/>
    <w:r w:rsidRPr="00C37CB2">
      <w:rPr>
        <w:rFonts w:ascii="Arial" w:hAnsi="Arial" w:cs="Arial"/>
        <w:i/>
        <w:sz w:val="18"/>
        <w:szCs w:val="18"/>
      </w:rPr>
      <w:t>zast</w:t>
    </w:r>
    <w:proofErr w:type="spellEnd"/>
    <w:r w:rsidRPr="00C37CB2">
      <w:rPr>
        <w:rFonts w:ascii="Arial" w:hAnsi="Arial" w:cs="Arial"/>
        <w:i/>
        <w:sz w:val="18"/>
        <w:szCs w:val="18"/>
      </w:rPr>
      <w:t xml:space="preserve">. </w:t>
    </w:r>
  </w:p>
  <w:p w:rsidR="000A746E" w:rsidRPr="000B227B" w:rsidRDefault="000A746E" w:rsidP="00A03259">
    <w:pPr>
      <w:pStyle w:val="Zhlav"/>
      <w:pBdr>
        <w:bottom w:val="single" w:sz="6" w:space="1" w:color="auto"/>
      </w:pBdr>
      <w:jc w:val="right"/>
      <w:rPr>
        <w:rFonts w:ascii="Arial" w:hAnsi="Arial" w:cs="Arial"/>
        <w:i/>
        <w:sz w:val="18"/>
        <w:szCs w:val="18"/>
      </w:rPr>
    </w:pPr>
    <w:r w:rsidRPr="00C37CB2">
      <w:rPr>
        <w:rFonts w:ascii="Arial" w:hAnsi="Arial" w:cs="Arial"/>
        <w:i/>
        <w:sz w:val="18"/>
        <w:szCs w:val="18"/>
      </w:rPr>
      <w:t>–</w:t>
    </w:r>
    <w:r>
      <w:rPr>
        <w:rFonts w:ascii="Arial" w:hAnsi="Arial" w:cs="Arial"/>
        <w:i/>
        <w:sz w:val="18"/>
        <w:szCs w:val="18"/>
      </w:rPr>
      <w:t xml:space="preserve"> DUSP, EH,</w:t>
    </w:r>
    <w:r w:rsidRPr="00C37CB2">
      <w:rPr>
        <w:rFonts w:ascii="Arial" w:hAnsi="Arial" w:cs="Arial"/>
        <w:i/>
        <w:sz w:val="18"/>
        <w:szCs w:val="18"/>
      </w:rPr>
      <w:t xml:space="preserve"> AD</w:t>
    </w:r>
  </w:p>
  <w:p w:rsidR="000A746E" w:rsidRPr="004A6A97" w:rsidRDefault="000A746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5B10"/>
    <w:rsid w:val="00006937"/>
    <w:rsid w:val="00006B04"/>
    <w:rsid w:val="00010322"/>
    <w:rsid w:val="000266DE"/>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46E"/>
    <w:rsid w:val="000A7689"/>
    <w:rsid w:val="000B1644"/>
    <w:rsid w:val="000B227B"/>
    <w:rsid w:val="000B66D3"/>
    <w:rsid w:val="000B6F15"/>
    <w:rsid w:val="000B7A57"/>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38FC"/>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13E"/>
    <w:rsid w:val="001C1C0E"/>
    <w:rsid w:val="001C1FA9"/>
    <w:rsid w:val="001C2772"/>
    <w:rsid w:val="001C34D9"/>
    <w:rsid w:val="001D4F34"/>
    <w:rsid w:val="001E07FC"/>
    <w:rsid w:val="001E21AA"/>
    <w:rsid w:val="001E6D25"/>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6347"/>
    <w:rsid w:val="002A7686"/>
    <w:rsid w:val="002B6CB3"/>
    <w:rsid w:val="002C19C8"/>
    <w:rsid w:val="002C2D95"/>
    <w:rsid w:val="002C2F26"/>
    <w:rsid w:val="002C36EA"/>
    <w:rsid w:val="002C440C"/>
    <w:rsid w:val="002C4E04"/>
    <w:rsid w:val="002D0C15"/>
    <w:rsid w:val="002D2D3E"/>
    <w:rsid w:val="002E1BE1"/>
    <w:rsid w:val="002E3103"/>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2175"/>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C440D"/>
    <w:rsid w:val="003D27E9"/>
    <w:rsid w:val="003E7DCB"/>
    <w:rsid w:val="003F1484"/>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55AAD"/>
    <w:rsid w:val="0056151C"/>
    <w:rsid w:val="00564087"/>
    <w:rsid w:val="00570626"/>
    <w:rsid w:val="00570D85"/>
    <w:rsid w:val="00573940"/>
    <w:rsid w:val="00574FE9"/>
    <w:rsid w:val="0057680B"/>
    <w:rsid w:val="005833EF"/>
    <w:rsid w:val="0058349B"/>
    <w:rsid w:val="00587081"/>
    <w:rsid w:val="005879D5"/>
    <w:rsid w:val="00592431"/>
    <w:rsid w:val="005A0F21"/>
    <w:rsid w:val="005A23E6"/>
    <w:rsid w:val="005A29B6"/>
    <w:rsid w:val="005A3EE2"/>
    <w:rsid w:val="005A5E9C"/>
    <w:rsid w:val="005B3BC8"/>
    <w:rsid w:val="005C62FC"/>
    <w:rsid w:val="005D3B14"/>
    <w:rsid w:val="005D4A66"/>
    <w:rsid w:val="005D4E6E"/>
    <w:rsid w:val="005E2397"/>
    <w:rsid w:val="005E23E9"/>
    <w:rsid w:val="005E4837"/>
    <w:rsid w:val="005E57C4"/>
    <w:rsid w:val="005E5868"/>
    <w:rsid w:val="005E7A59"/>
    <w:rsid w:val="005F6BC7"/>
    <w:rsid w:val="00601517"/>
    <w:rsid w:val="00602581"/>
    <w:rsid w:val="00602E97"/>
    <w:rsid w:val="006040EF"/>
    <w:rsid w:val="00605197"/>
    <w:rsid w:val="006129E4"/>
    <w:rsid w:val="006133FF"/>
    <w:rsid w:val="00625AE5"/>
    <w:rsid w:val="00627365"/>
    <w:rsid w:val="006302E8"/>
    <w:rsid w:val="0063095A"/>
    <w:rsid w:val="006313CF"/>
    <w:rsid w:val="00631592"/>
    <w:rsid w:val="00640A07"/>
    <w:rsid w:val="006412B8"/>
    <w:rsid w:val="006447F4"/>
    <w:rsid w:val="00645E47"/>
    <w:rsid w:val="00651883"/>
    <w:rsid w:val="00653609"/>
    <w:rsid w:val="00653C79"/>
    <w:rsid w:val="00656B1D"/>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45B7"/>
    <w:rsid w:val="006A7423"/>
    <w:rsid w:val="006A7F76"/>
    <w:rsid w:val="006B00C5"/>
    <w:rsid w:val="006B0DD1"/>
    <w:rsid w:val="006B3B79"/>
    <w:rsid w:val="006B4A8F"/>
    <w:rsid w:val="006B7BA1"/>
    <w:rsid w:val="006C4B94"/>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2DE0"/>
    <w:rsid w:val="007B5471"/>
    <w:rsid w:val="007C0BA3"/>
    <w:rsid w:val="007C2A03"/>
    <w:rsid w:val="007C2BA6"/>
    <w:rsid w:val="007C44EB"/>
    <w:rsid w:val="007D1B36"/>
    <w:rsid w:val="007D336E"/>
    <w:rsid w:val="007D74B7"/>
    <w:rsid w:val="007E09E3"/>
    <w:rsid w:val="007E112C"/>
    <w:rsid w:val="007E6415"/>
    <w:rsid w:val="007E6B92"/>
    <w:rsid w:val="007E6CC4"/>
    <w:rsid w:val="007E79EF"/>
    <w:rsid w:val="007F4654"/>
    <w:rsid w:val="008005E3"/>
    <w:rsid w:val="00801493"/>
    <w:rsid w:val="008016AE"/>
    <w:rsid w:val="00805161"/>
    <w:rsid w:val="00805AD4"/>
    <w:rsid w:val="0080727B"/>
    <w:rsid w:val="008114BC"/>
    <w:rsid w:val="008144C2"/>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0308"/>
    <w:rsid w:val="009005C0"/>
    <w:rsid w:val="009048F9"/>
    <w:rsid w:val="00904B7F"/>
    <w:rsid w:val="00906414"/>
    <w:rsid w:val="00906450"/>
    <w:rsid w:val="0091315D"/>
    <w:rsid w:val="009131A3"/>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1EE"/>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27244"/>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3782F"/>
    <w:rsid w:val="00B41B3F"/>
    <w:rsid w:val="00B421BC"/>
    <w:rsid w:val="00B434FC"/>
    <w:rsid w:val="00B4527B"/>
    <w:rsid w:val="00B469CF"/>
    <w:rsid w:val="00B47FE2"/>
    <w:rsid w:val="00B51469"/>
    <w:rsid w:val="00B527D7"/>
    <w:rsid w:val="00B5584B"/>
    <w:rsid w:val="00B56107"/>
    <w:rsid w:val="00B5681D"/>
    <w:rsid w:val="00B56E7A"/>
    <w:rsid w:val="00B579FC"/>
    <w:rsid w:val="00B60B89"/>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A7BEA"/>
    <w:rsid w:val="00BB02F6"/>
    <w:rsid w:val="00BB712C"/>
    <w:rsid w:val="00BC00F0"/>
    <w:rsid w:val="00BC230B"/>
    <w:rsid w:val="00BC267F"/>
    <w:rsid w:val="00BC3E13"/>
    <w:rsid w:val="00BC649B"/>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37CB2"/>
    <w:rsid w:val="00C44DF3"/>
    <w:rsid w:val="00C462BF"/>
    <w:rsid w:val="00C47684"/>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38ED"/>
    <w:rsid w:val="00D05603"/>
    <w:rsid w:val="00D1733E"/>
    <w:rsid w:val="00D209F0"/>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8526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49FF"/>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B9D"/>
    <w:rsid w:val="00E23566"/>
    <w:rsid w:val="00E2553D"/>
    <w:rsid w:val="00E264BA"/>
    <w:rsid w:val="00E26A41"/>
    <w:rsid w:val="00E313A5"/>
    <w:rsid w:val="00E32563"/>
    <w:rsid w:val="00E32572"/>
    <w:rsid w:val="00E33063"/>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36C3"/>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70AC"/>
    <w:rsid w:val="00F0030A"/>
    <w:rsid w:val="00F01785"/>
    <w:rsid w:val="00F047B1"/>
    <w:rsid w:val="00F100D8"/>
    <w:rsid w:val="00F119A4"/>
    <w:rsid w:val="00F12F9E"/>
    <w:rsid w:val="00F1357D"/>
    <w:rsid w:val="00F20E74"/>
    <w:rsid w:val="00F21D10"/>
    <w:rsid w:val="00F24127"/>
    <w:rsid w:val="00F26180"/>
    <w:rsid w:val="00F279F5"/>
    <w:rsid w:val="00F30120"/>
    <w:rsid w:val="00F30BF9"/>
    <w:rsid w:val="00F32B04"/>
    <w:rsid w:val="00F34454"/>
    <w:rsid w:val="00F34582"/>
    <w:rsid w:val="00F40B8E"/>
    <w:rsid w:val="00F42BE0"/>
    <w:rsid w:val="00F432C1"/>
    <w:rsid w:val="00F4363E"/>
    <w:rsid w:val="00F53508"/>
    <w:rsid w:val="00F552CD"/>
    <w:rsid w:val="00F55613"/>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543D"/>
    <w:rsid w:val="00FB6B58"/>
    <w:rsid w:val="00FB74F9"/>
    <w:rsid w:val="00FB76BE"/>
    <w:rsid w:val="00FC6492"/>
    <w:rsid w:val="00FC6FD9"/>
    <w:rsid w:val="00FC7DC7"/>
    <w:rsid w:val="00FD2632"/>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C5A2C"/>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280503140">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61D72-0046-4AA1-B9E8-C724C38C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8270</Words>
  <Characters>48796</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58</cp:revision>
  <cp:lastPrinted>2019-05-15T11:03:00Z</cp:lastPrinted>
  <dcterms:created xsi:type="dcterms:W3CDTF">2021-10-14T13:14:00Z</dcterms:created>
  <dcterms:modified xsi:type="dcterms:W3CDTF">2021-10-15T05:51:00Z</dcterms:modified>
</cp:coreProperties>
</file>